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AB33B" w14:textId="77777777" w:rsidR="00B64B80" w:rsidRDefault="00B64B80" w:rsidP="00B64B80">
      <w:pPr>
        <w:jc w:val="right"/>
        <w:rPr>
          <w:rFonts w:asciiTheme="majorHAnsi" w:hAnsiTheme="majorHAnsi"/>
        </w:rPr>
      </w:pPr>
      <w:r>
        <w:rPr>
          <w:rFonts w:asciiTheme="majorHAnsi" w:hAnsiTheme="majorHAnsi"/>
        </w:rPr>
        <w:t>Draft Fall 2012</w:t>
      </w:r>
    </w:p>
    <w:p w14:paraId="03CA955C" w14:textId="77777777" w:rsidR="00B64B80" w:rsidRDefault="00B64B80" w:rsidP="00B64B80">
      <w:pPr>
        <w:jc w:val="right"/>
        <w:rPr>
          <w:rFonts w:asciiTheme="majorHAnsi" w:hAnsiTheme="majorHAnsi"/>
        </w:rPr>
      </w:pPr>
    </w:p>
    <w:p w14:paraId="0DD0A35F" w14:textId="77777777" w:rsidR="00B64B80" w:rsidRPr="00B64B80" w:rsidRDefault="00B64B80" w:rsidP="00B64B80">
      <w:pPr>
        <w:jc w:val="right"/>
        <w:rPr>
          <w:rFonts w:asciiTheme="majorHAnsi" w:hAnsiTheme="majorHAnsi"/>
        </w:rPr>
      </w:pPr>
    </w:p>
    <w:p w14:paraId="181828CA" w14:textId="77777777" w:rsidR="0000343B" w:rsidRPr="00223856" w:rsidRDefault="009C2FB8" w:rsidP="009C2FB8">
      <w:pPr>
        <w:jc w:val="center"/>
        <w:rPr>
          <w:rFonts w:asciiTheme="majorHAnsi" w:hAnsiTheme="majorHAnsi"/>
          <w:u w:val="single"/>
        </w:rPr>
      </w:pPr>
      <w:r w:rsidRPr="00223856">
        <w:rPr>
          <w:rFonts w:asciiTheme="majorHAnsi" w:hAnsiTheme="majorHAnsi"/>
          <w:u w:val="single"/>
        </w:rPr>
        <w:t>Arbitration</w:t>
      </w:r>
      <w:r w:rsidR="00223856" w:rsidRPr="00223856">
        <w:rPr>
          <w:rFonts w:asciiTheme="majorHAnsi" w:hAnsiTheme="majorHAnsi"/>
          <w:u w:val="single"/>
        </w:rPr>
        <w:t xml:space="preserve"> and Access to Courts</w:t>
      </w:r>
      <w:r w:rsidRPr="00223856">
        <w:rPr>
          <w:rFonts w:asciiTheme="majorHAnsi" w:hAnsiTheme="majorHAnsi"/>
          <w:u w:val="single"/>
        </w:rPr>
        <w:t xml:space="preserve">: </w:t>
      </w:r>
      <w:r w:rsidR="000C466A" w:rsidRPr="00223856">
        <w:rPr>
          <w:rFonts w:asciiTheme="majorHAnsi" w:hAnsiTheme="majorHAnsi"/>
          <w:u w:val="single"/>
        </w:rPr>
        <w:t>Economic Analysis</w:t>
      </w:r>
    </w:p>
    <w:p w14:paraId="71E1867A" w14:textId="77777777" w:rsidR="000C006B" w:rsidRPr="00223856" w:rsidRDefault="000C006B" w:rsidP="009C2FB8">
      <w:pPr>
        <w:jc w:val="center"/>
        <w:rPr>
          <w:rFonts w:asciiTheme="majorHAnsi" w:hAnsiTheme="majorHAnsi"/>
        </w:rPr>
      </w:pPr>
    </w:p>
    <w:p w14:paraId="73F0DFE4" w14:textId="77777777" w:rsidR="00740C37" w:rsidRPr="00B64B80" w:rsidRDefault="00740C37" w:rsidP="009C2FB8">
      <w:pPr>
        <w:jc w:val="center"/>
        <w:rPr>
          <w:rFonts w:asciiTheme="majorHAnsi" w:hAnsiTheme="majorHAnsi"/>
        </w:rPr>
      </w:pPr>
      <w:r w:rsidRPr="00223856">
        <w:rPr>
          <w:rFonts w:asciiTheme="majorHAnsi" w:hAnsiTheme="majorHAnsi"/>
          <w:i/>
        </w:rPr>
        <w:t>Omri Ben-Shahar</w:t>
      </w:r>
      <w:r w:rsidR="00B64B80" w:rsidRPr="00093969">
        <w:rPr>
          <w:rStyle w:val="FootnoteReference"/>
        </w:rPr>
        <w:footnoteReference w:customMarkFollows="1" w:id="1"/>
        <w:t>*</w:t>
      </w:r>
    </w:p>
    <w:p w14:paraId="7ACA2B7B" w14:textId="77777777" w:rsidR="00740C37" w:rsidRPr="00223856" w:rsidRDefault="00740C37" w:rsidP="009C2FB8">
      <w:pPr>
        <w:jc w:val="center"/>
        <w:rPr>
          <w:rFonts w:asciiTheme="majorHAnsi" w:hAnsiTheme="majorHAnsi"/>
          <w:i/>
        </w:rPr>
      </w:pPr>
      <w:r w:rsidRPr="00223856">
        <w:rPr>
          <w:rFonts w:asciiTheme="majorHAnsi" w:hAnsiTheme="majorHAnsi"/>
          <w:i/>
        </w:rPr>
        <w:t>University of Chicago Law School</w:t>
      </w:r>
    </w:p>
    <w:p w14:paraId="38F2FF0D" w14:textId="77777777" w:rsidR="00740C37" w:rsidRPr="00223856" w:rsidRDefault="00740C37" w:rsidP="009C2FB8">
      <w:pPr>
        <w:jc w:val="center"/>
        <w:rPr>
          <w:rFonts w:asciiTheme="majorHAnsi" w:hAnsiTheme="majorHAnsi"/>
        </w:rPr>
      </w:pPr>
    </w:p>
    <w:p w14:paraId="5D2F68D1" w14:textId="77777777" w:rsidR="00740C37" w:rsidRPr="00223856" w:rsidRDefault="00740C37">
      <w:pPr>
        <w:rPr>
          <w:rFonts w:asciiTheme="majorHAnsi" w:hAnsiTheme="majorHAnsi"/>
        </w:rPr>
      </w:pPr>
    </w:p>
    <w:p w14:paraId="7ED5049F" w14:textId="77777777" w:rsidR="00740C37" w:rsidRPr="001A16A6" w:rsidRDefault="009621DC" w:rsidP="009C2128">
      <w:pPr>
        <w:jc w:val="center"/>
        <w:rPr>
          <w:rFonts w:asciiTheme="majorHAnsi" w:hAnsiTheme="majorHAnsi"/>
          <w:b/>
        </w:rPr>
      </w:pPr>
      <w:r w:rsidRPr="001A16A6">
        <w:rPr>
          <w:rFonts w:asciiTheme="majorHAnsi" w:hAnsiTheme="majorHAnsi"/>
          <w:b/>
        </w:rPr>
        <w:t>I. Introduction</w:t>
      </w:r>
    </w:p>
    <w:p w14:paraId="4D1F3AC7" w14:textId="77777777" w:rsidR="009621DC" w:rsidRPr="00223856" w:rsidRDefault="009621DC">
      <w:pPr>
        <w:rPr>
          <w:rFonts w:asciiTheme="majorHAnsi" w:hAnsiTheme="majorHAnsi"/>
        </w:rPr>
      </w:pPr>
    </w:p>
    <w:p w14:paraId="421EB73D" w14:textId="77777777" w:rsidR="009A011B" w:rsidRPr="00223856" w:rsidRDefault="008F40A1" w:rsidP="009F1889">
      <w:pPr>
        <w:ind w:firstLine="720"/>
        <w:rPr>
          <w:rFonts w:asciiTheme="majorHAnsi" w:hAnsiTheme="majorHAnsi"/>
        </w:rPr>
      </w:pPr>
      <w:r w:rsidRPr="00223856">
        <w:rPr>
          <w:rFonts w:asciiTheme="majorHAnsi" w:hAnsiTheme="majorHAnsi"/>
        </w:rPr>
        <w:t>Mandatory arbitration clauses in</w:t>
      </w:r>
      <w:r w:rsidR="00B53817" w:rsidRPr="00223856">
        <w:rPr>
          <w:rFonts w:asciiTheme="majorHAnsi" w:hAnsiTheme="majorHAnsi"/>
        </w:rPr>
        <w:t xml:space="preserve"> consumer contracts</w:t>
      </w:r>
      <w:r w:rsidR="009A011B" w:rsidRPr="00223856">
        <w:rPr>
          <w:rFonts w:asciiTheme="majorHAnsi" w:hAnsiTheme="majorHAnsi"/>
        </w:rPr>
        <w:t xml:space="preserve"> are widely regarded as problematic because they limit consumer’s access to judicial forums, and potentially to any kind of remedy. </w:t>
      </w:r>
      <w:r w:rsidR="003B5074" w:rsidRPr="00223856">
        <w:rPr>
          <w:rFonts w:asciiTheme="majorHAnsi" w:hAnsiTheme="majorHAnsi"/>
        </w:rPr>
        <w:t>“Large areas of U.S life and commerce have silently been ins</w:t>
      </w:r>
      <w:r w:rsidR="000C466A" w:rsidRPr="00223856">
        <w:rPr>
          <w:rFonts w:asciiTheme="majorHAnsi" w:hAnsiTheme="majorHAnsi"/>
        </w:rPr>
        <w:t>ulated from the lawsuit culture.</w:t>
      </w:r>
      <w:r w:rsidR="003B5074" w:rsidRPr="00223856">
        <w:rPr>
          <w:rFonts w:asciiTheme="majorHAnsi" w:hAnsiTheme="majorHAnsi"/>
        </w:rPr>
        <w:t>”</w:t>
      </w:r>
      <w:r w:rsidR="003B5074" w:rsidRPr="00093969">
        <w:rPr>
          <w:rStyle w:val="FootnoteReference"/>
        </w:rPr>
        <w:footnoteReference w:id="2"/>
      </w:r>
      <w:r w:rsidR="003B5074" w:rsidRPr="00223856">
        <w:rPr>
          <w:rFonts w:asciiTheme="majorHAnsi" w:hAnsiTheme="majorHAnsi"/>
        </w:rPr>
        <w:t xml:space="preserve"> </w:t>
      </w:r>
      <w:r w:rsidR="009A011B" w:rsidRPr="00223856">
        <w:rPr>
          <w:rFonts w:asciiTheme="majorHAnsi" w:hAnsiTheme="majorHAnsi"/>
        </w:rPr>
        <w:t xml:space="preserve">While public courts are cheap for plaintiffs to access and grant them generous procedural opportunities, the concern is that arbitration is costly to employ </w:t>
      </w:r>
      <w:r w:rsidR="0035740B" w:rsidRPr="00223856">
        <w:rPr>
          <w:rFonts w:asciiTheme="majorHAnsi" w:hAnsiTheme="majorHAnsi"/>
        </w:rPr>
        <w:t>and</w:t>
      </w:r>
      <w:r w:rsidR="009A011B" w:rsidRPr="00223856">
        <w:rPr>
          <w:rFonts w:asciiTheme="majorHAnsi" w:hAnsiTheme="majorHAnsi"/>
        </w:rPr>
        <w:t xml:space="preserve"> stingier in its procedural and remedial options. </w:t>
      </w:r>
    </w:p>
    <w:p w14:paraId="2F687BEC" w14:textId="77777777" w:rsidR="009A011B" w:rsidRPr="00223856" w:rsidRDefault="009A011B">
      <w:pPr>
        <w:rPr>
          <w:rFonts w:asciiTheme="majorHAnsi" w:hAnsiTheme="majorHAnsi"/>
        </w:rPr>
      </w:pPr>
    </w:p>
    <w:p w14:paraId="5666E1A1" w14:textId="77777777" w:rsidR="008F40A1" w:rsidRPr="00223856" w:rsidRDefault="009A011B" w:rsidP="009F1889">
      <w:pPr>
        <w:ind w:firstLine="720"/>
        <w:rPr>
          <w:rFonts w:asciiTheme="majorHAnsi" w:hAnsiTheme="majorHAnsi"/>
        </w:rPr>
      </w:pPr>
      <w:r w:rsidRPr="00223856">
        <w:rPr>
          <w:rFonts w:asciiTheme="majorHAnsi" w:hAnsiTheme="majorHAnsi"/>
        </w:rPr>
        <w:t xml:space="preserve">Arbitration clauses in consumer contracts are chosen bilaterally by the parties. But </w:t>
      </w:r>
      <w:r w:rsidR="00B53817" w:rsidRPr="00223856">
        <w:rPr>
          <w:rFonts w:asciiTheme="majorHAnsi" w:hAnsiTheme="majorHAnsi"/>
        </w:rPr>
        <w:t xml:space="preserve">many </w:t>
      </w:r>
      <w:r w:rsidR="00494ECC" w:rsidRPr="00223856">
        <w:rPr>
          <w:rFonts w:asciiTheme="majorHAnsi" w:hAnsiTheme="majorHAnsi"/>
        </w:rPr>
        <w:t xml:space="preserve">viewers </w:t>
      </w:r>
      <w:r w:rsidR="00B53817" w:rsidRPr="00223856">
        <w:rPr>
          <w:rFonts w:asciiTheme="majorHAnsi" w:hAnsiTheme="majorHAnsi"/>
        </w:rPr>
        <w:t xml:space="preserve">would reject the superficial implication that such choices represent the interests and incentives of both </w:t>
      </w:r>
      <w:r w:rsidRPr="00223856">
        <w:rPr>
          <w:rFonts w:asciiTheme="majorHAnsi" w:hAnsiTheme="majorHAnsi"/>
        </w:rPr>
        <w:t>sides</w:t>
      </w:r>
      <w:r w:rsidR="00B53817" w:rsidRPr="00223856">
        <w:rPr>
          <w:rFonts w:asciiTheme="majorHAnsi" w:hAnsiTheme="majorHAnsi"/>
        </w:rPr>
        <w:t>.</w:t>
      </w:r>
      <w:r w:rsidR="00A04C5A" w:rsidRPr="00093969">
        <w:rPr>
          <w:rStyle w:val="FootnoteReference"/>
        </w:rPr>
        <w:footnoteReference w:id="3"/>
      </w:r>
      <w:r w:rsidR="00B53817" w:rsidRPr="00223856">
        <w:rPr>
          <w:rFonts w:asciiTheme="majorHAnsi" w:hAnsiTheme="majorHAnsi"/>
        </w:rPr>
        <w:t xml:space="preserve"> For one, the choice whether to agree to mandatory arbitration is not much of a choice when all vendors who compete in some product space require an agreement to arbitration. It is possible, though, that if consumers demanded access to litigation in courts, some vendors would respond by removing the mandatory arbitration provisions. But consumers, of course, manifest no such demand</w:t>
      </w:r>
      <w:r w:rsidR="000C466A" w:rsidRPr="00223856">
        <w:rPr>
          <w:rFonts w:asciiTheme="majorHAnsi" w:hAnsiTheme="majorHAnsi"/>
        </w:rPr>
        <w:t xml:space="preserve"> at the time of contracting</w:t>
      </w:r>
      <w:r w:rsidR="00B53817" w:rsidRPr="00223856">
        <w:rPr>
          <w:rFonts w:asciiTheme="majorHAnsi" w:hAnsiTheme="majorHAnsi"/>
        </w:rPr>
        <w:t xml:space="preserve">. </w:t>
      </w:r>
    </w:p>
    <w:p w14:paraId="43EAAF9C" w14:textId="77777777" w:rsidR="00B53817" w:rsidRPr="00093969" w:rsidRDefault="00B53817">
      <w:pPr>
        <w:rPr>
          <w:rStyle w:val="FootnoteReference"/>
        </w:rPr>
      </w:pPr>
    </w:p>
    <w:p w14:paraId="1D5FD083" w14:textId="77777777" w:rsidR="00B53817" w:rsidRPr="00223856" w:rsidRDefault="00B53817" w:rsidP="009F1889">
      <w:pPr>
        <w:ind w:firstLine="720"/>
        <w:rPr>
          <w:rFonts w:asciiTheme="majorHAnsi" w:hAnsiTheme="majorHAnsi"/>
        </w:rPr>
      </w:pPr>
      <w:r w:rsidRPr="00223856">
        <w:rPr>
          <w:rFonts w:asciiTheme="majorHAnsi" w:hAnsiTheme="majorHAnsi"/>
        </w:rPr>
        <w:t>Consumers’ ex ante apathy towards ar</w:t>
      </w:r>
      <w:r w:rsidR="00232A6C" w:rsidRPr="00223856">
        <w:rPr>
          <w:rFonts w:asciiTheme="majorHAnsi" w:hAnsiTheme="majorHAnsi"/>
        </w:rPr>
        <w:t xml:space="preserve">bitration clauses may indicate a rational response if consumers indeed have little to gain from access to litigation, and if litigation is, as </w:t>
      </w:r>
      <w:r w:rsidR="009A011B" w:rsidRPr="00223856">
        <w:rPr>
          <w:rFonts w:asciiTheme="majorHAnsi" w:hAnsiTheme="majorHAnsi"/>
        </w:rPr>
        <w:t xml:space="preserve">Gerhard </w:t>
      </w:r>
      <w:r w:rsidR="00232A6C" w:rsidRPr="00223856">
        <w:rPr>
          <w:rFonts w:asciiTheme="majorHAnsi" w:hAnsiTheme="majorHAnsi"/>
        </w:rPr>
        <w:t xml:space="preserve">Wagner </w:t>
      </w:r>
      <w:r w:rsidR="000E4C6F" w:rsidRPr="00223856">
        <w:rPr>
          <w:rFonts w:asciiTheme="majorHAnsi" w:hAnsiTheme="majorHAnsi"/>
        </w:rPr>
        <w:t>explained</w:t>
      </w:r>
      <w:r w:rsidR="009A011B" w:rsidRPr="00223856">
        <w:rPr>
          <w:rFonts w:asciiTheme="majorHAnsi" w:hAnsiTheme="majorHAnsi"/>
        </w:rPr>
        <w:t xml:space="preserve"> so clearly</w:t>
      </w:r>
      <w:r w:rsidR="00232A6C" w:rsidRPr="00223856">
        <w:rPr>
          <w:rFonts w:asciiTheme="majorHAnsi" w:hAnsiTheme="majorHAnsi"/>
        </w:rPr>
        <w:t>, inferior by being more costly and overly obsessed with ex post accuracy.</w:t>
      </w:r>
      <w:r w:rsidR="000C466A" w:rsidRPr="00093969">
        <w:rPr>
          <w:rStyle w:val="FootnoteReference"/>
        </w:rPr>
        <w:footnoteReference w:id="4"/>
      </w:r>
      <w:r w:rsidR="00232A6C" w:rsidRPr="00223856">
        <w:rPr>
          <w:rFonts w:asciiTheme="majorHAnsi" w:hAnsiTheme="majorHAnsi"/>
        </w:rPr>
        <w:t xml:space="preserve"> But the apathy may also indicate irrational myopia, a failure to account for the problems that might occur when non-conforming products or </w:t>
      </w:r>
      <w:r w:rsidR="00232A6C" w:rsidRPr="00223856">
        <w:rPr>
          <w:rFonts w:asciiTheme="majorHAnsi" w:hAnsiTheme="majorHAnsi"/>
        </w:rPr>
        <w:lastRenderedPageBreak/>
        <w:t>services are rendered</w:t>
      </w:r>
      <w:r w:rsidR="005D67FB" w:rsidRPr="00223856">
        <w:rPr>
          <w:rFonts w:asciiTheme="majorHAnsi" w:hAnsiTheme="majorHAnsi"/>
        </w:rPr>
        <w:t xml:space="preserve"> and redress sought</w:t>
      </w:r>
      <w:r w:rsidR="00232A6C" w:rsidRPr="00223856">
        <w:rPr>
          <w:rFonts w:asciiTheme="majorHAnsi" w:hAnsiTheme="majorHAnsi"/>
        </w:rPr>
        <w:t>. Or, the apathy may simply indicate that consumers do not bother to read contracts (which we know they don’t), and thus are simply uni</w:t>
      </w:r>
      <w:r w:rsidR="005D67FB" w:rsidRPr="00223856">
        <w:rPr>
          <w:rFonts w:asciiTheme="majorHAnsi" w:hAnsiTheme="majorHAnsi"/>
        </w:rPr>
        <w:t>n</w:t>
      </w:r>
      <w:r w:rsidR="00232A6C" w:rsidRPr="00223856">
        <w:rPr>
          <w:rFonts w:asciiTheme="majorHAnsi" w:hAnsiTheme="majorHAnsi"/>
        </w:rPr>
        <w:t xml:space="preserve">formed about their agreement to relinquish their access to public courts. </w:t>
      </w:r>
    </w:p>
    <w:p w14:paraId="7FCEE716" w14:textId="77777777" w:rsidR="008F40A1" w:rsidRPr="00223856" w:rsidRDefault="008F40A1">
      <w:pPr>
        <w:rPr>
          <w:rFonts w:asciiTheme="majorHAnsi" w:hAnsiTheme="majorHAnsi"/>
        </w:rPr>
      </w:pPr>
    </w:p>
    <w:p w14:paraId="3F842B5B" w14:textId="77777777" w:rsidR="00CA72C6" w:rsidRPr="00223856" w:rsidRDefault="009A011B" w:rsidP="009F1889">
      <w:pPr>
        <w:ind w:firstLine="720"/>
        <w:rPr>
          <w:rFonts w:asciiTheme="majorHAnsi" w:hAnsiTheme="majorHAnsi"/>
          <w:i/>
        </w:rPr>
      </w:pPr>
      <w:r w:rsidRPr="00223856">
        <w:rPr>
          <w:rFonts w:asciiTheme="majorHAnsi" w:hAnsiTheme="majorHAnsi"/>
        </w:rPr>
        <w:t xml:space="preserve">If arbitration is not chosen for its efficiency and mutual benefit, the suspicion </w:t>
      </w:r>
      <w:r w:rsidR="000E4C6F" w:rsidRPr="00223856">
        <w:rPr>
          <w:rFonts w:asciiTheme="majorHAnsi" w:hAnsiTheme="majorHAnsi"/>
        </w:rPr>
        <w:t xml:space="preserve">then </w:t>
      </w:r>
      <w:r w:rsidRPr="00223856">
        <w:rPr>
          <w:rFonts w:asciiTheme="majorHAnsi" w:hAnsiTheme="majorHAnsi"/>
        </w:rPr>
        <w:t xml:space="preserve">falls on the vendors who draft these clauses for self-serving reasons. As Wagner notes, </w:t>
      </w:r>
      <w:r w:rsidR="000E4C6F" w:rsidRPr="00223856">
        <w:rPr>
          <w:rFonts w:asciiTheme="majorHAnsi" w:hAnsiTheme="majorHAnsi"/>
        </w:rPr>
        <w:t>“</w:t>
      </w:r>
      <w:r w:rsidR="00CA72C6" w:rsidRPr="00223856">
        <w:rPr>
          <w:rFonts w:asciiTheme="majorHAnsi" w:hAnsiTheme="majorHAnsi"/>
        </w:rPr>
        <w:t xml:space="preserve">it </w:t>
      </w:r>
      <w:r w:rsidR="000E4C6F" w:rsidRPr="00223856">
        <w:rPr>
          <w:rFonts w:asciiTheme="majorHAnsi" w:hAnsiTheme="majorHAnsi"/>
        </w:rPr>
        <w:t xml:space="preserve">seems plausible to assume that [. . .] </w:t>
      </w:r>
      <w:r w:rsidR="00CA72C6" w:rsidRPr="00223856">
        <w:rPr>
          <w:rFonts w:asciiTheme="majorHAnsi" w:hAnsiTheme="majorHAnsi"/>
        </w:rPr>
        <w:t>arbitration is chosen not for its virtues as a dispute resolution mechanism but as a tool for potential defendants to altogether remove the incentive for consumers to enforce small claims.</w:t>
      </w:r>
      <w:r w:rsidR="000E4C6F" w:rsidRPr="00223856">
        <w:rPr>
          <w:rFonts w:asciiTheme="majorHAnsi" w:hAnsiTheme="majorHAnsi"/>
        </w:rPr>
        <w:t>”</w:t>
      </w:r>
      <w:r w:rsidR="00F621D1" w:rsidRPr="00093969">
        <w:rPr>
          <w:rStyle w:val="FootnoteReference"/>
        </w:rPr>
        <w:footnoteReference w:id="5"/>
      </w:r>
      <w:r w:rsidR="000E4C6F" w:rsidRPr="00223856">
        <w:rPr>
          <w:rFonts w:asciiTheme="majorHAnsi" w:hAnsiTheme="majorHAnsi"/>
        </w:rPr>
        <w:t xml:space="preserve"> If that is the case, </w:t>
      </w:r>
      <w:r w:rsidR="009C34D9" w:rsidRPr="00223856">
        <w:rPr>
          <w:rFonts w:asciiTheme="majorHAnsi" w:hAnsiTheme="majorHAnsi"/>
        </w:rPr>
        <w:t>then</w:t>
      </w:r>
      <w:r w:rsidR="000E4C6F" w:rsidRPr="00223856">
        <w:rPr>
          <w:rFonts w:asciiTheme="majorHAnsi" w:hAnsiTheme="majorHAnsi"/>
        </w:rPr>
        <w:t xml:space="preserve"> “</w:t>
      </w:r>
      <w:r w:rsidR="00CA72C6" w:rsidRPr="00223856">
        <w:rPr>
          <w:rFonts w:asciiTheme="majorHAnsi" w:hAnsiTheme="majorHAnsi"/>
        </w:rPr>
        <w:t>such clauses should not be enforced at all because any gains from aggregate litigation in terms of better incentives to take care ex ante would be lost.</w:t>
      </w:r>
      <w:r w:rsidR="00F621D1" w:rsidRPr="00223856">
        <w:rPr>
          <w:rFonts w:asciiTheme="majorHAnsi" w:hAnsiTheme="majorHAnsi"/>
        </w:rPr>
        <w:t>”</w:t>
      </w:r>
      <w:r w:rsidR="00F621D1" w:rsidRPr="00093969">
        <w:rPr>
          <w:rStyle w:val="FootnoteReference"/>
        </w:rPr>
        <w:footnoteReference w:id="6"/>
      </w:r>
      <w:r w:rsidR="00CA72C6" w:rsidRPr="00223856">
        <w:rPr>
          <w:rFonts w:asciiTheme="majorHAnsi" w:hAnsiTheme="majorHAnsi"/>
        </w:rPr>
        <w:t xml:space="preserve"> </w:t>
      </w:r>
      <w:r w:rsidR="00F621D1" w:rsidRPr="00223856">
        <w:rPr>
          <w:rFonts w:asciiTheme="majorHAnsi" w:hAnsiTheme="majorHAnsi"/>
        </w:rPr>
        <w:t xml:space="preserve">And many commentators—and quite a few American courts—share this sentiment, </w:t>
      </w:r>
      <w:r w:rsidR="009C34D9" w:rsidRPr="00223856">
        <w:rPr>
          <w:rFonts w:asciiTheme="majorHAnsi" w:hAnsiTheme="majorHAnsi"/>
        </w:rPr>
        <w:t>although</w:t>
      </w:r>
      <w:r w:rsidR="00F621D1" w:rsidRPr="00223856">
        <w:rPr>
          <w:rFonts w:asciiTheme="majorHAnsi" w:hAnsiTheme="majorHAnsi"/>
        </w:rPr>
        <w:t xml:space="preserve"> basing mo</w:t>
      </w:r>
      <w:r w:rsidR="009C34D9" w:rsidRPr="00223856">
        <w:rPr>
          <w:rFonts w:asciiTheme="majorHAnsi" w:hAnsiTheme="majorHAnsi"/>
        </w:rPr>
        <w:t xml:space="preserve">re on ex post remedial concerns, rather </w:t>
      </w:r>
      <w:r w:rsidR="00F621D1" w:rsidRPr="00223856">
        <w:rPr>
          <w:rFonts w:asciiTheme="majorHAnsi" w:hAnsiTheme="majorHAnsi"/>
        </w:rPr>
        <w:t>than on ex ante deterrence.</w:t>
      </w:r>
      <w:r w:rsidR="00F621D1" w:rsidRPr="00093969">
        <w:rPr>
          <w:rStyle w:val="FootnoteReference"/>
        </w:rPr>
        <w:footnoteReference w:id="7"/>
      </w:r>
      <w:r w:rsidR="002A3FE8" w:rsidRPr="00223856">
        <w:rPr>
          <w:rFonts w:asciiTheme="majorHAnsi" w:hAnsiTheme="majorHAnsi"/>
        </w:rPr>
        <w:t xml:space="preserve"> The overwhelming conclusion in the commentary is that arbitration has the “capacity </w:t>
      </w:r>
      <w:r w:rsidR="00D65FC3" w:rsidRPr="00223856">
        <w:rPr>
          <w:rFonts w:asciiTheme="majorHAnsi" w:hAnsiTheme="majorHAnsi"/>
        </w:rPr>
        <w:t>to reduce,</w:t>
      </w:r>
      <w:r w:rsidR="00CA7989" w:rsidRPr="00223856">
        <w:rPr>
          <w:rFonts w:asciiTheme="majorHAnsi" w:hAnsiTheme="majorHAnsi"/>
        </w:rPr>
        <w:t xml:space="preserve"> if not altogether eliminate, access to</w:t>
      </w:r>
      <w:r w:rsidR="002A3FE8" w:rsidRPr="00223856">
        <w:rPr>
          <w:rFonts w:asciiTheme="majorHAnsi" w:hAnsiTheme="majorHAnsi"/>
        </w:rPr>
        <w:t xml:space="preserve"> the</w:t>
      </w:r>
      <w:r w:rsidR="00CA7989" w:rsidRPr="00223856">
        <w:rPr>
          <w:rFonts w:asciiTheme="majorHAnsi" w:hAnsiTheme="majorHAnsi"/>
        </w:rPr>
        <w:t xml:space="preserve"> courts and to </w:t>
      </w:r>
      <w:r w:rsidR="00C96CAF" w:rsidRPr="00223856">
        <w:rPr>
          <w:rFonts w:asciiTheme="majorHAnsi" w:hAnsiTheme="majorHAnsi"/>
        </w:rPr>
        <w:t xml:space="preserve">the </w:t>
      </w:r>
      <w:r w:rsidR="002A3FE8" w:rsidRPr="00223856">
        <w:rPr>
          <w:rFonts w:asciiTheme="majorHAnsi" w:hAnsiTheme="majorHAnsi"/>
        </w:rPr>
        <w:t>law.”</w:t>
      </w:r>
      <w:r w:rsidR="002A3FE8" w:rsidRPr="00093969">
        <w:rPr>
          <w:rStyle w:val="FootnoteReference"/>
        </w:rPr>
        <w:footnoteReference w:id="8"/>
      </w:r>
      <w:r w:rsidR="009C34D9" w:rsidRPr="00223856">
        <w:rPr>
          <w:rFonts w:asciiTheme="majorHAnsi" w:hAnsiTheme="majorHAnsi"/>
        </w:rPr>
        <w:t xml:space="preserve"> I will call this concern the “limited access to remedy” hypothesis, and explore its validity.</w:t>
      </w:r>
    </w:p>
    <w:p w14:paraId="4C801F58" w14:textId="77777777" w:rsidR="003A2E4C" w:rsidRPr="00223856" w:rsidRDefault="003A2E4C">
      <w:pPr>
        <w:rPr>
          <w:rFonts w:asciiTheme="majorHAnsi" w:hAnsiTheme="majorHAnsi"/>
        </w:rPr>
      </w:pPr>
    </w:p>
    <w:p w14:paraId="6A3F5246" w14:textId="77777777" w:rsidR="00D65FC3" w:rsidRPr="00223856" w:rsidRDefault="00D65FC3" w:rsidP="009F1889">
      <w:pPr>
        <w:ind w:firstLine="720"/>
        <w:rPr>
          <w:rFonts w:asciiTheme="majorHAnsi" w:hAnsiTheme="majorHAnsi"/>
        </w:rPr>
      </w:pPr>
      <w:r w:rsidRPr="00223856">
        <w:rPr>
          <w:rFonts w:asciiTheme="majorHAnsi" w:hAnsiTheme="majorHAnsi"/>
        </w:rPr>
        <w:t xml:space="preserve">Under </w:t>
      </w:r>
      <w:r w:rsidR="009C34D9" w:rsidRPr="00223856">
        <w:rPr>
          <w:rFonts w:asciiTheme="majorHAnsi" w:hAnsiTheme="majorHAnsi"/>
        </w:rPr>
        <w:t>the limited-access-to-remedy</w:t>
      </w:r>
      <w:r w:rsidRPr="00223856">
        <w:rPr>
          <w:rFonts w:asciiTheme="majorHAnsi" w:hAnsiTheme="majorHAnsi"/>
        </w:rPr>
        <w:t xml:space="preserve"> view</w:t>
      </w:r>
      <w:r w:rsidR="009C34D9" w:rsidRPr="00223856">
        <w:rPr>
          <w:rFonts w:asciiTheme="majorHAnsi" w:hAnsiTheme="majorHAnsi"/>
        </w:rPr>
        <w:t xml:space="preserve"> of consumer arbitration</w:t>
      </w:r>
      <w:r w:rsidRPr="00223856">
        <w:rPr>
          <w:rFonts w:asciiTheme="majorHAnsi" w:hAnsiTheme="majorHAnsi"/>
        </w:rPr>
        <w:t xml:space="preserve">, litigation provides better access to remedies and to justice because it is cheaper to </w:t>
      </w:r>
      <w:r w:rsidR="00672B7B" w:rsidRPr="00223856">
        <w:rPr>
          <w:rFonts w:asciiTheme="majorHAnsi" w:hAnsiTheme="majorHAnsi"/>
        </w:rPr>
        <w:t xml:space="preserve">file and to </w:t>
      </w:r>
      <w:r w:rsidRPr="00223856">
        <w:rPr>
          <w:rFonts w:asciiTheme="majorHAnsi" w:hAnsiTheme="majorHAnsi"/>
        </w:rPr>
        <w:t xml:space="preserve">pursue, it provides more effective procedural </w:t>
      </w:r>
      <w:r w:rsidR="005D67FB" w:rsidRPr="00223856">
        <w:rPr>
          <w:rFonts w:asciiTheme="majorHAnsi" w:hAnsiTheme="majorHAnsi"/>
        </w:rPr>
        <w:t>weapons</w:t>
      </w:r>
      <w:r w:rsidRPr="00223856">
        <w:rPr>
          <w:rFonts w:asciiTheme="majorHAnsi" w:hAnsiTheme="majorHAnsi"/>
        </w:rPr>
        <w:t xml:space="preserve"> (like discovery), it is public and </w:t>
      </w:r>
      <w:r w:rsidR="009C34D9" w:rsidRPr="00223856">
        <w:rPr>
          <w:rFonts w:asciiTheme="majorHAnsi" w:hAnsiTheme="majorHAnsi"/>
        </w:rPr>
        <w:t xml:space="preserve">thus </w:t>
      </w:r>
      <w:r w:rsidRPr="00223856">
        <w:rPr>
          <w:rFonts w:asciiTheme="majorHAnsi" w:hAnsiTheme="majorHAnsi"/>
        </w:rPr>
        <w:t xml:space="preserve">has precedential value, and </w:t>
      </w:r>
      <w:r w:rsidR="009C34D9" w:rsidRPr="00223856">
        <w:rPr>
          <w:rFonts w:asciiTheme="majorHAnsi" w:hAnsiTheme="majorHAnsi"/>
        </w:rPr>
        <w:t xml:space="preserve">it </w:t>
      </w:r>
      <w:r w:rsidRPr="00223856">
        <w:rPr>
          <w:rFonts w:asciiTheme="majorHAnsi" w:hAnsiTheme="majorHAnsi"/>
        </w:rPr>
        <w:t xml:space="preserve">allows for class representation (which arbitration could too, but often does not). As a result, consumers as a group are disfavored, whereas the </w:t>
      </w:r>
      <w:r w:rsidR="00C96CAF" w:rsidRPr="00223856">
        <w:rPr>
          <w:rFonts w:asciiTheme="majorHAnsi" w:hAnsiTheme="majorHAnsi"/>
        </w:rPr>
        <w:t>more powerful</w:t>
      </w:r>
      <w:r w:rsidRPr="00223856">
        <w:rPr>
          <w:rFonts w:asciiTheme="majorHAnsi" w:hAnsiTheme="majorHAnsi"/>
        </w:rPr>
        <w:t xml:space="preserve"> businesses benefit.</w:t>
      </w:r>
      <w:r w:rsidRPr="00093969">
        <w:rPr>
          <w:rStyle w:val="FootnoteReference"/>
        </w:rPr>
        <w:footnoteReference w:id="9"/>
      </w:r>
    </w:p>
    <w:p w14:paraId="1A44496F" w14:textId="77777777" w:rsidR="00672B7B" w:rsidRPr="00223856" w:rsidRDefault="00672B7B">
      <w:pPr>
        <w:rPr>
          <w:rFonts w:asciiTheme="majorHAnsi" w:hAnsiTheme="majorHAnsi"/>
        </w:rPr>
      </w:pPr>
    </w:p>
    <w:p w14:paraId="48C1E06B" w14:textId="77777777" w:rsidR="009621DC" w:rsidRPr="00223856" w:rsidRDefault="009C34D9" w:rsidP="009F1889">
      <w:pPr>
        <w:ind w:firstLine="720"/>
        <w:rPr>
          <w:rFonts w:asciiTheme="majorHAnsi" w:hAnsiTheme="majorHAnsi"/>
        </w:rPr>
      </w:pPr>
      <w:r w:rsidRPr="00223856">
        <w:rPr>
          <w:rFonts w:asciiTheme="majorHAnsi" w:hAnsiTheme="majorHAnsi"/>
        </w:rPr>
        <w:t>The question whether arbitration is, in general, less accessible to consumers than litigation is difficult to untangle empirically. Instead, I want to ask a subtle</w:t>
      </w:r>
      <w:r w:rsidR="00C96CAF" w:rsidRPr="00223856">
        <w:rPr>
          <w:rFonts w:asciiTheme="majorHAnsi" w:hAnsiTheme="majorHAnsi"/>
        </w:rPr>
        <w:t>r</w:t>
      </w:r>
      <w:r w:rsidRPr="00223856">
        <w:rPr>
          <w:rFonts w:asciiTheme="majorHAnsi" w:hAnsiTheme="majorHAnsi"/>
        </w:rPr>
        <w:t xml:space="preserve"> question: assuming that arbitration poses different burdens than litigation, who among </w:t>
      </w:r>
      <w:r w:rsidRPr="00223856">
        <w:rPr>
          <w:rFonts w:asciiTheme="majorHAnsi" w:hAnsiTheme="majorHAnsi"/>
        </w:rPr>
        <w:lastRenderedPageBreak/>
        <w:t>consumers types are affected? Which consumers are disfavored</w:t>
      </w:r>
      <w:r w:rsidR="005D67FB" w:rsidRPr="00223856">
        <w:rPr>
          <w:rFonts w:asciiTheme="majorHAnsi" w:hAnsiTheme="majorHAnsi"/>
        </w:rPr>
        <w:t>, facing greater difficulties in vindicating meritorious claims? A</w:t>
      </w:r>
      <w:r w:rsidRPr="00223856">
        <w:rPr>
          <w:rFonts w:asciiTheme="majorHAnsi" w:hAnsiTheme="majorHAnsi"/>
        </w:rPr>
        <w:t>nd which consumers, perhaps, benefit? I</w:t>
      </w:r>
      <w:r w:rsidR="00672B7B" w:rsidRPr="00223856">
        <w:rPr>
          <w:rFonts w:asciiTheme="majorHAnsi" w:hAnsiTheme="majorHAnsi"/>
        </w:rPr>
        <w:t>f consumers vary in their sophistication, education, wealth, vulnerability,</w:t>
      </w:r>
      <w:r w:rsidR="00C96CAF" w:rsidRPr="00223856">
        <w:rPr>
          <w:rFonts w:asciiTheme="majorHAnsi" w:hAnsiTheme="majorHAnsi"/>
        </w:rPr>
        <w:t xml:space="preserve"> type of injuries,</w:t>
      </w:r>
      <w:r w:rsidRPr="00223856">
        <w:rPr>
          <w:rFonts w:asciiTheme="majorHAnsi" w:hAnsiTheme="majorHAnsi"/>
        </w:rPr>
        <w:t xml:space="preserve"> litigiousness, or other traits,</w:t>
      </w:r>
      <w:r w:rsidR="00672B7B" w:rsidRPr="00223856">
        <w:rPr>
          <w:rFonts w:asciiTheme="majorHAnsi" w:hAnsiTheme="majorHAnsi"/>
        </w:rPr>
        <w:t xml:space="preserve"> does </w:t>
      </w:r>
      <w:r w:rsidR="00CA7989" w:rsidRPr="00223856">
        <w:rPr>
          <w:rFonts w:asciiTheme="majorHAnsi" w:hAnsiTheme="majorHAnsi"/>
        </w:rPr>
        <w:t>the denial of access to courts</w:t>
      </w:r>
      <w:r w:rsidR="00672B7B" w:rsidRPr="00223856">
        <w:rPr>
          <w:rFonts w:asciiTheme="majorHAnsi" w:hAnsiTheme="majorHAnsi"/>
        </w:rPr>
        <w:t xml:space="preserve"> hurt weaker consumers more? Does it hurt the more sophisticated consumers more? </w:t>
      </w:r>
      <w:r w:rsidRPr="00223856">
        <w:rPr>
          <w:rFonts w:asciiTheme="majorHAnsi" w:hAnsiTheme="majorHAnsi"/>
        </w:rPr>
        <w:t xml:space="preserve">Rather than looking at “consumers as a group”—as most </w:t>
      </w:r>
      <w:r w:rsidR="00C96CAF" w:rsidRPr="00223856">
        <w:rPr>
          <w:rFonts w:asciiTheme="majorHAnsi" w:hAnsiTheme="majorHAnsi"/>
        </w:rPr>
        <w:t xml:space="preserve">of the literature does—it is my goal </w:t>
      </w:r>
      <w:r w:rsidRPr="00223856">
        <w:rPr>
          <w:rFonts w:asciiTheme="majorHAnsi" w:hAnsiTheme="majorHAnsi"/>
        </w:rPr>
        <w:t xml:space="preserve">to examine if sub groups of consumers are affected more than others. </w:t>
      </w:r>
    </w:p>
    <w:p w14:paraId="50CB5272" w14:textId="77777777" w:rsidR="009621DC" w:rsidRPr="00223856" w:rsidRDefault="009621DC">
      <w:pPr>
        <w:rPr>
          <w:rFonts w:asciiTheme="majorHAnsi" w:hAnsiTheme="majorHAnsi"/>
        </w:rPr>
      </w:pPr>
    </w:p>
    <w:p w14:paraId="2326B6A2" w14:textId="77777777" w:rsidR="003A2E4C" w:rsidRDefault="00192BA9" w:rsidP="009F1889">
      <w:pPr>
        <w:ind w:firstLine="720"/>
        <w:rPr>
          <w:rFonts w:asciiTheme="majorHAnsi" w:hAnsiTheme="majorHAnsi"/>
        </w:rPr>
      </w:pPr>
      <w:r w:rsidRPr="00223856">
        <w:rPr>
          <w:rFonts w:asciiTheme="majorHAnsi" w:hAnsiTheme="majorHAnsi"/>
        </w:rPr>
        <w:t xml:space="preserve">The concerns over access to justice </w:t>
      </w:r>
      <w:r w:rsidR="009C34D9" w:rsidRPr="00223856">
        <w:rPr>
          <w:rFonts w:asciiTheme="majorHAnsi" w:hAnsiTheme="majorHAnsi"/>
        </w:rPr>
        <w:t xml:space="preserve">would be </w:t>
      </w:r>
      <w:r w:rsidRPr="00223856">
        <w:rPr>
          <w:rFonts w:asciiTheme="majorHAnsi" w:hAnsiTheme="majorHAnsi"/>
        </w:rPr>
        <w:t xml:space="preserve">all the more powerful if </w:t>
      </w:r>
      <w:r w:rsidR="00CA7989" w:rsidRPr="00223856">
        <w:rPr>
          <w:rFonts w:asciiTheme="majorHAnsi" w:hAnsiTheme="majorHAnsi"/>
        </w:rPr>
        <w:t>the denial of access to courts is</w:t>
      </w:r>
      <w:r w:rsidR="00EA213E" w:rsidRPr="00223856">
        <w:rPr>
          <w:rFonts w:asciiTheme="majorHAnsi" w:hAnsiTheme="majorHAnsi"/>
        </w:rPr>
        <w:t xml:space="preserve"> </w:t>
      </w:r>
      <w:r w:rsidRPr="00223856">
        <w:rPr>
          <w:rFonts w:asciiTheme="majorHAnsi" w:hAnsiTheme="majorHAnsi"/>
        </w:rPr>
        <w:t>disproportionately affecting weak consumers. Indeed, this is a plausible conjecture: those</w:t>
      </w:r>
      <w:r w:rsidR="00EA213E" w:rsidRPr="00223856">
        <w:rPr>
          <w:rFonts w:asciiTheme="majorHAnsi" w:hAnsiTheme="majorHAnsi"/>
        </w:rPr>
        <w:t xml:space="preserve"> </w:t>
      </w:r>
      <w:r w:rsidRPr="00223856">
        <w:rPr>
          <w:rFonts w:asciiTheme="majorHAnsi" w:hAnsiTheme="majorHAnsi"/>
        </w:rPr>
        <w:t xml:space="preserve">who have </w:t>
      </w:r>
      <w:r w:rsidR="00EA213E" w:rsidRPr="00223856">
        <w:rPr>
          <w:rFonts w:asciiTheme="majorHAnsi" w:hAnsiTheme="majorHAnsi"/>
        </w:rPr>
        <w:t>less</w:t>
      </w:r>
      <w:r w:rsidRPr="00223856">
        <w:rPr>
          <w:rFonts w:asciiTheme="majorHAnsi" w:hAnsiTheme="majorHAnsi"/>
        </w:rPr>
        <w:t xml:space="preserve"> resources and less</w:t>
      </w:r>
      <w:r w:rsidR="00EA213E" w:rsidRPr="00223856">
        <w:rPr>
          <w:rFonts w:asciiTheme="majorHAnsi" w:hAnsiTheme="majorHAnsi"/>
        </w:rPr>
        <w:t xml:space="preserve"> sophistication,</w:t>
      </w:r>
      <w:r w:rsidRPr="00223856">
        <w:rPr>
          <w:rFonts w:asciiTheme="majorHAnsi" w:hAnsiTheme="majorHAnsi"/>
        </w:rPr>
        <w:t xml:space="preserve"> are less likely to be able to pay the upfront </w:t>
      </w:r>
      <w:r w:rsidR="00EF47E2" w:rsidRPr="00223856">
        <w:rPr>
          <w:rFonts w:asciiTheme="majorHAnsi" w:hAnsiTheme="majorHAnsi"/>
        </w:rPr>
        <w:t xml:space="preserve">fees of filing for arbitration, </w:t>
      </w:r>
      <w:r w:rsidRPr="00223856">
        <w:rPr>
          <w:rFonts w:asciiTheme="majorHAnsi" w:hAnsiTheme="majorHAnsi"/>
        </w:rPr>
        <w:t xml:space="preserve">and </w:t>
      </w:r>
      <w:r w:rsidR="00EA213E" w:rsidRPr="00223856">
        <w:rPr>
          <w:rFonts w:asciiTheme="majorHAnsi" w:hAnsiTheme="majorHAnsi"/>
        </w:rPr>
        <w:t>thus less access to arbitration or to any kind of redress</w:t>
      </w:r>
      <w:r w:rsidR="00CA7989" w:rsidRPr="00223856">
        <w:rPr>
          <w:rFonts w:asciiTheme="majorHAnsi" w:hAnsiTheme="majorHAnsi"/>
        </w:rPr>
        <w:t>.</w:t>
      </w:r>
      <w:r w:rsidR="00EF47E2" w:rsidRPr="00093969">
        <w:rPr>
          <w:rStyle w:val="FootnoteReference"/>
        </w:rPr>
        <w:footnoteReference w:id="10"/>
      </w:r>
      <w:r w:rsidR="00EF47E2" w:rsidRPr="00223856">
        <w:rPr>
          <w:rFonts w:asciiTheme="majorHAnsi" w:hAnsiTheme="majorHAnsi"/>
        </w:rPr>
        <w:t xml:space="preserve"> </w:t>
      </w:r>
      <w:r w:rsidR="009621DC" w:rsidRPr="00223856">
        <w:rPr>
          <w:rFonts w:asciiTheme="majorHAnsi" w:hAnsiTheme="majorHAnsi"/>
        </w:rPr>
        <w:t>On the other hand, the concerns over access to justice would be weakened if it would turn out that only elite groups of consumers are harshly affected by the limited access to remedy</w:t>
      </w:r>
      <w:r w:rsidR="00C96CAF" w:rsidRPr="00223856">
        <w:rPr>
          <w:rFonts w:asciiTheme="majorHAnsi" w:hAnsiTheme="majorHAnsi"/>
        </w:rPr>
        <w:t>, and that—in an unappreciated way</w:t>
      </w:r>
      <w:r w:rsidR="009F1889">
        <w:rPr>
          <w:rFonts w:asciiTheme="majorHAnsi" w:hAnsiTheme="majorHAnsi"/>
        </w:rPr>
        <w:t>, by eliminating an implicit cross-subsidy</w:t>
      </w:r>
      <w:r w:rsidR="00C96CAF" w:rsidRPr="00223856">
        <w:rPr>
          <w:rFonts w:asciiTheme="majorHAnsi" w:hAnsiTheme="majorHAnsi"/>
        </w:rPr>
        <w:t>—weak consumers benefit</w:t>
      </w:r>
      <w:r w:rsidR="009621DC" w:rsidRPr="00223856">
        <w:rPr>
          <w:rFonts w:asciiTheme="majorHAnsi" w:hAnsiTheme="majorHAnsi"/>
        </w:rPr>
        <w:t>.</w:t>
      </w:r>
    </w:p>
    <w:p w14:paraId="1F3928D0" w14:textId="77777777" w:rsidR="009F1889" w:rsidRDefault="009F1889" w:rsidP="009F1889">
      <w:pPr>
        <w:ind w:firstLine="720"/>
        <w:rPr>
          <w:rFonts w:asciiTheme="majorHAnsi" w:hAnsiTheme="majorHAnsi"/>
        </w:rPr>
      </w:pPr>
    </w:p>
    <w:p w14:paraId="6EDF83BC" w14:textId="77777777" w:rsidR="003557A4" w:rsidRDefault="009F1889" w:rsidP="009F1889">
      <w:pPr>
        <w:ind w:firstLine="720"/>
        <w:rPr>
          <w:rFonts w:asciiTheme="majorHAnsi" w:hAnsiTheme="majorHAnsi"/>
        </w:rPr>
      </w:pPr>
      <w:r>
        <w:rPr>
          <w:rFonts w:asciiTheme="majorHAnsi" w:hAnsiTheme="majorHAnsi"/>
        </w:rPr>
        <w:t>This question—the differential effect of consumer protections among groups of consumers—is not often addressed directly</w:t>
      </w:r>
      <w:r w:rsidR="00030751">
        <w:rPr>
          <w:rFonts w:asciiTheme="majorHAnsi" w:hAnsiTheme="majorHAnsi"/>
        </w:rPr>
        <w:t xml:space="preserve"> by legal commentators</w:t>
      </w:r>
      <w:r w:rsidR="0097191A">
        <w:rPr>
          <w:rFonts w:asciiTheme="majorHAnsi" w:hAnsiTheme="majorHAnsi"/>
        </w:rPr>
        <w:t>. I</w:t>
      </w:r>
      <w:r w:rsidR="003557A4">
        <w:rPr>
          <w:rFonts w:asciiTheme="majorHAnsi" w:hAnsiTheme="majorHAnsi"/>
        </w:rPr>
        <w:t>nstead, i</w:t>
      </w:r>
      <w:r w:rsidR="0097191A">
        <w:rPr>
          <w:rFonts w:asciiTheme="majorHAnsi" w:hAnsiTheme="majorHAnsi"/>
        </w:rPr>
        <w:t xml:space="preserve">t is often implicitly assumed that mandatory protections </w:t>
      </w:r>
      <w:r w:rsidR="003557A4">
        <w:rPr>
          <w:rFonts w:asciiTheme="majorHAnsi" w:hAnsiTheme="majorHAnsi"/>
        </w:rPr>
        <w:t xml:space="preserve">are of greater </w:t>
      </w:r>
      <w:r w:rsidR="0097191A">
        <w:rPr>
          <w:rFonts w:asciiTheme="majorHAnsi" w:hAnsiTheme="majorHAnsi"/>
        </w:rPr>
        <w:t>benefit</w:t>
      </w:r>
      <w:r w:rsidR="003557A4">
        <w:rPr>
          <w:rFonts w:asciiTheme="majorHAnsi" w:hAnsiTheme="majorHAnsi"/>
        </w:rPr>
        <w:t xml:space="preserve"> to</w:t>
      </w:r>
      <w:r w:rsidR="0097191A">
        <w:rPr>
          <w:rFonts w:asciiTheme="majorHAnsi" w:hAnsiTheme="majorHAnsi"/>
        </w:rPr>
        <w:t xml:space="preserve"> the neediest of consumers. </w:t>
      </w:r>
      <w:r>
        <w:rPr>
          <w:rFonts w:asciiTheme="majorHAnsi" w:hAnsiTheme="majorHAnsi"/>
        </w:rPr>
        <w:t xml:space="preserve">Richard Epstein, for example, has recently </w:t>
      </w:r>
      <w:r w:rsidR="00DD4BD3">
        <w:rPr>
          <w:rFonts w:asciiTheme="majorHAnsi" w:hAnsiTheme="majorHAnsi"/>
        </w:rPr>
        <w:t>conceded</w:t>
      </w:r>
      <w:r>
        <w:rPr>
          <w:rFonts w:asciiTheme="majorHAnsi" w:hAnsiTheme="majorHAnsi"/>
        </w:rPr>
        <w:t xml:space="preserve"> th</w:t>
      </w:r>
      <w:r w:rsidR="00DD4BD3">
        <w:rPr>
          <w:rFonts w:asciiTheme="majorHAnsi" w:hAnsiTheme="majorHAnsi"/>
        </w:rPr>
        <w:t xml:space="preserve">at strong consumer protections </w:t>
      </w:r>
      <w:r>
        <w:rPr>
          <w:rFonts w:asciiTheme="majorHAnsi" w:hAnsiTheme="majorHAnsi"/>
        </w:rPr>
        <w:t xml:space="preserve">benefit the </w:t>
      </w:r>
      <w:r w:rsidR="00DD4BD3">
        <w:rPr>
          <w:rFonts w:asciiTheme="majorHAnsi" w:hAnsiTheme="majorHAnsi"/>
        </w:rPr>
        <w:t>weak</w:t>
      </w:r>
      <w:r>
        <w:rPr>
          <w:rFonts w:asciiTheme="majorHAnsi" w:hAnsiTheme="majorHAnsi"/>
        </w:rPr>
        <w:t xml:space="preserve"> consumers</w:t>
      </w:r>
      <w:r w:rsidR="00DD4BD3">
        <w:rPr>
          <w:rFonts w:asciiTheme="majorHAnsi" w:hAnsiTheme="majorHAnsi"/>
        </w:rPr>
        <w:t xml:space="preserve"> and could have a progressive effect</w:t>
      </w:r>
      <w:r>
        <w:rPr>
          <w:rFonts w:asciiTheme="majorHAnsi" w:hAnsiTheme="majorHAnsi"/>
        </w:rPr>
        <w:t>.</w:t>
      </w:r>
      <w:r w:rsidR="00DD4BD3">
        <w:rPr>
          <w:rFonts w:asciiTheme="majorHAnsi" w:hAnsiTheme="majorHAnsi"/>
        </w:rPr>
        <w:t xml:space="preserve"> In commenting on the proposed mandatory regulations under the Common European Sales Law, </w:t>
      </w:r>
      <w:r w:rsidR="003557A4">
        <w:rPr>
          <w:rFonts w:asciiTheme="majorHAnsi" w:hAnsiTheme="majorHAnsi"/>
        </w:rPr>
        <w:t>Epstein</w:t>
      </w:r>
      <w:r w:rsidR="00DD4BD3">
        <w:rPr>
          <w:rFonts w:asciiTheme="majorHAnsi" w:hAnsiTheme="majorHAnsi"/>
        </w:rPr>
        <w:t xml:space="preserve"> was ready to “</w:t>
      </w:r>
      <w:r w:rsidRPr="009F1889">
        <w:rPr>
          <w:rFonts w:asciiTheme="majorHAnsi" w:hAnsiTheme="majorHAnsi"/>
        </w:rPr>
        <w:t xml:space="preserve">assume that the less-sophisticated half of SMEs or consumers stand to benefit from the </w:t>
      </w:r>
      <w:r w:rsidR="00DD4BD3">
        <w:rPr>
          <w:rFonts w:asciiTheme="majorHAnsi" w:hAnsiTheme="majorHAnsi"/>
        </w:rPr>
        <w:t xml:space="preserve">[protective] </w:t>
      </w:r>
      <w:r w:rsidRPr="009F1889">
        <w:rPr>
          <w:rFonts w:asciiTheme="majorHAnsi" w:hAnsiTheme="majorHAnsi"/>
        </w:rPr>
        <w:t>regulation and the more-sophisticated half of SMEs or consumers are hurt by them, in equal degrees.</w:t>
      </w:r>
      <w:r w:rsidR="00DD4BD3">
        <w:rPr>
          <w:rFonts w:asciiTheme="majorHAnsi" w:hAnsiTheme="majorHAnsi"/>
        </w:rPr>
        <w:t>” Indeed, he saw this protective regime “</w:t>
      </w:r>
      <w:r w:rsidRPr="009F1889">
        <w:rPr>
          <w:rFonts w:asciiTheme="majorHAnsi" w:hAnsiTheme="majorHAnsi"/>
        </w:rPr>
        <w:t>an implicit cross-subsidy of weak consumers by their stronger counterparts.</w:t>
      </w:r>
      <w:r w:rsidR="00DD4BD3">
        <w:rPr>
          <w:rFonts w:asciiTheme="majorHAnsi" w:hAnsiTheme="majorHAnsi"/>
        </w:rPr>
        <w:t>”</w:t>
      </w:r>
      <w:r w:rsidR="00DD4BD3" w:rsidRPr="00093969">
        <w:rPr>
          <w:rStyle w:val="FootnoteReference"/>
        </w:rPr>
        <w:footnoteReference w:id="11"/>
      </w:r>
      <w:r w:rsidR="003557A4">
        <w:rPr>
          <w:rFonts w:asciiTheme="majorHAnsi" w:hAnsiTheme="majorHAnsi"/>
        </w:rPr>
        <w:t xml:space="preserve"> </w:t>
      </w:r>
      <w:r w:rsidR="0097191A">
        <w:rPr>
          <w:rFonts w:asciiTheme="majorHAnsi" w:hAnsiTheme="majorHAnsi"/>
        </w:rPr>
        <w:t xml:space="preserve">This is an intuitive assumption. Strong consumer protections might benefit </w:t>
      </w:r>
      <w:r w:rsidR="0097191A" w:rsidRPr="00DD4BD3">
        <w:rPr>
          <w:rFonts w:asciiTheme="majorHAnsi" w:hAnsiTheme="majorHAnsi"/>
          <w:i/>
        </w:rPr>
        <w:t>weaker</w:t>
      </w:r>
      <w:r w:rsidR="0097191A">
        <w:rPr>
          <w:rFonts w:asciiTheme="majorHAnsi" w:hAnsiTheme="majorHAnsi"/>
        </w:rPr>
        <w:t xml:space="preserve"> consumers mor</w:t>
      </w:r>
      <w:r w:rsidR="003557A4">
        <w:rPr>
          <w:rFonts w:asciiTheme="majorHAnsi" w:hAnsiTheme="majorHAnsi"/>
        </w:rPr>
        <w:t>e because strong consumers can take care of themselves</w:t>
      </w:r>
      <w:r w:rsidR="0097191A">
        <w:rPr>
          <w:rFonts w:asciiTheme="majorHAnsi" w:hAnsiTheme="majorHAnsi"/>
        </w:rPr>
        <w:t>—they can rely on reputation,</w:t>
      </w:r>
      <w:r w:rsidR="003557A4">
        <w:rPr>
          <w:rFonts w:asciiTheme="majorHAnsi" w:hAnsiTheme="majorHAnsi"/>
        </w:rPr>
        <w:t xml:space="preserve"> or advice,</w:t>
      </w:r>
      <w:r w:rsidR="0097191A">
        <w:rPr>
          <w:rFonts w:asciiTheme="majorHAnsi" w:hAnsiTheme="majorHAnsi"/>
        </w:rPr>
        <w:t xml:space="preserve"> or informal sanctions, or market research, </w:t>
      </w:r>
      <w:r w:rsidR="003557A4">
        <w:rPr>
          <w:rFonts w:asciiTheme="majorHAnsi" w:hAnsiTheme="majorHAnsi"/>
        </w:rPr>
        <w:t xml:space="preserve">or insurance, or a host of protective substitutes </w:t>
      </w:r>
      <w:r w:rsidR="0097191A">
        <w:rPr>
          <w:rFonts w:asciiTheme="majorHAnsi" w:hAnsiTheme="majorHAnsi"/>
        </w:rPr>
        <w:t xml:space="preserve">before making a purchase—and are thus less dependent on paternalistic legal protections. </w:t>
      </w:r>
    </w:p>
    <w:p w14:paraId="0FCDAAC7" w14:textId="77777777" w:rsidR="003557A4" w:rsidRDefault="003557A4" w:rsidP="009F1889">
      <w:pPr>
        <w:ind w:firstLine="720"/>
        <w:rPr>
          <w:rFonts w:asciiTheme="majorHAnsi" w:hAnsiTheme="majorHAnsi"/>
        </w:rPr>
      </w:pPr>
    </w:p>
    <w:p w14:paraId="601D41EC" w14:textId="77777777" w:rsidR="0097191A" w:rsidRDefault="0097191A" w:rsidP="009F1889">
      <w:pPr>
        <w:ind w:firstLine="720"/>
        <w:rPr>
          <w:rFonts w:asciiTheme="majorHAnsi" w:hAnsiTheme="majorHAnsi"/>
        </w:rPr>
      </w:pPr>
      <w:r>
        <w:rPr>
          <w:rFonts w:asciiTheme="majorHAnsi" w:hAnsiTheme="majorHAnsi"/>
        </w:rPr>
        <w:t>And yet, my goal in this paper is to highlight the opposite possibility, that mandatory protections could be regressive, in benefitting the stronger consumers disproportionately, and at times at the direct expense of the weak. I will focus on one type of mandatory protection—access to litigation—but the argument might be of relevance in other contexts as well.</w:t>
      </w:r>
    </w:p>
    <w:p w14:paraId="5D76EC53" w14:textId="77777777" w:rsidR="003557A4" w:rsidRDefault="003557A4" w:rsidP="009F1889">
      <w:pPr>
        <w:ind w:firstLine="720"/>
        <w:rPr>
          <w:rFonts w:asciiTheme="majorHAnsi" w:hAnsiTheme="majorHAnsi"/>
        </w:rPr>
      </w:pPr>
    </w:p>
    <w:p w14:paraId="36551414" w14:textId="77777777" w:rsidR="0097191A" w:rsidRPr="00223856" w:rsidRDefault="003557A4" w:rsidP="009F1889">
      <w:pPr>
        <w:ind w:firstLine="720"/>
        <w:rPr>
          <w:rFonts w:asciiTheme="majorHAnsi" w:hAnsiTheme="majorHAnsi"/>
        </w:rPr>
      </w:pPr>
      <w:r>
        <w:rPr>
          <w:rFonts w:asciiTheme="majorHAnsi" w:hAnsiTheme="majorHAnsi"/>
        </w:rPr>
        <w:t>Bef</w:t>
      </w:r>
      <w:r w:rsidR="009635F4">
        <w:rPr>
          <w:rFonts w:asciiTheme="majorHAnsi" w:hAnsiTheme="majorHAnsi"/>
        </w:rPr>
        <w:t>ore launching into this inquiry, i</w:t>
      </w:r>
      <w:r>
        <w:rPr>
          <w:rFonts w:asciiTheme="majorHAnsi" w:hAnsiTheme="majorHAnsi"/>
        </w:rPr>
        <w:t xml:space="preserve">t is important to </w:t>
      </w:r>
      <w:r w:rsidR="009635F4">
        <w:rPr>
          <w:rFonts w:asciiTheme="majorHAnsi" w:hAnsiTheme="majorHAnsi"/>
        </w:rPr>
        <w:t>mention</w:t>
      </w:r>
      <w:r>
        <w:rPr>
          <w:rFonts w:asciiTheme="majorHAnsi" w:hAnsiTheme="majorHAnsi"/>
        </w:rPr>
        <w:t xml:space="preserve"> one factor that might </w:t>
      </w:r>
      <w:r w:rsidR="001A16A6">
        <w:rPr>
          <w:rFonts w:asciiTheme="majorHAnsi" w:hAnsiTheme="majorHAnsi"/>
        </w:rPr>
        <w:t>suppress</w:t>
      </w:r>
      <w:r w:rsidR="009635F4">
        <w:rPr>
          <w:rFonts w:asciiTheme="majorHAnsi" w:hAnsiTheme="majorHAnsi"/>
        </w:rPr>
        <w:t xml:space="preserve"> any differential effect that access to litigation might have across consumer types: class actions. To the extent that litigation is a public good—produced by few to the benefit of all—the </w:t>
      </w:r>
      <w:r w:rsidR="00AF7B99">
        <w:rPr>
          <w:rFonts w:asciiTheme="majorHAnsi" w:hAnsiTheme="majorHAnsi"/>
        </w:rPr>
        <w:t>superior</w:t>
      </w:r>
      <w:r w:rsidR="009635F4">
        <w:rPr>
          <w:rFonts w:asciiTheme="majorHAnsi" w:hAnsiTheme="majorHAnsi"/>
        </w:rPr>
        <w:t xml:space="preserve"> access </w:t>
      </w:r>
      <w:r w:rsidR="00AF7B99">
        <w:rPr>
          <w:rFonts w:asciiTheme="majorHAnsi" w:hAnsiTheme="majorHAnsi"/>
        </w:rPr>
        <w:t>that some groups enjoy would</w:t>
      </w:r>
      <w:r w:rsidR="009635F4">
        <w:rPr>
          <w:rFonts w:asciiTheme="majorHAnsi" w:hAnsiTheme="majorHAnsi"/>
        </w:rPr>
        <w:t xml:space="preserve"> not </w:t>
      </w:r>
      <w:r w:rsidR="001A16A6">
        <w:rPr>
          <w:rFonts w:asciiTheme="majorHAnsi" w:hAnsiTheme="majorHAnsi"/>
        </w:rPr>
        <w:t>disproportionately benefit it</w:t>
      </w:r>
      <w:r w:rsidR="009635F4">
        <w:rPr>
          <w:rFonts w:asciiTheme="majorHAnsi" w:hAnsiTheme="majorHAnsi"/>
        </w:rPr>
        <w:t xml:space="preserve">. Even if only the privileged few among consumers </w:t>
      </w:r>
      <w:r w:rsidR="00AF7B99">
        <w:rPr>
          <w:rFonts w:asciiTheme="majorHAnsi" w:hAnsiTheme="majorHAnsi"/>
        </w:rPr>
        <w:t>could</w:t>
      </w:r>
      <w:r w:rsidR="009635F4">
        <w:rPr>
          <w:rFonts w:asciiTheme="majorHAnsi" w:hAnsiTheme="majorHAnsi"/>
        </w:rPr>
        <w:t xml:space="preserve"> launch litigation campaigns against businesses, the class representation feature would guarantee the </w:t>
      </w:r>
      <w:r w:rsidR="00AF7B99">
        <w:rPr>
          <w:rFonts w:asciiTheme="majorHAnsi" w:hAnsiTheme="majorHAnsi"/>
        </w:rPr>
        <w:t xml:space="preserve">spillover of the </w:t>
      </w:r>
      <w:r w:rsidR="009635F4">
        <w:rPr>
          <w:rFonts w:asciiTheme="majorHAnsi" w:hAnsiTheme="majorHAnsi"/>
        </w:rPr>
        <w:t xml:space="preserve">benefit to all. This </w:t>
      </w:r>
      <w:r w:rsidR="00AF7B99">
        <w:rPr>
          <w:rFonts w:asciiTheme="majorHAnsi" w:hAnsiTheme="majorHAnsi"/>
        </w:rPr>
        <w:t xml:space="preserve">universal </w:t>
      </w:r>
      <w:r w:rsidR="009635F4">
        <w:rPr>
          <w:rFonts w:asciiTheme="majorHAnsi" w:hAnsiTheme="majorHAnsi"/>
        </w:rPr>
        <w:t>benefit could be in the form of class-wide recovery; or</w:t>
      </w:r>
      <w:r w:rsidR="00AF7B99">
        <w:rPr>
          <w:rFonts w:asciiTheme="majorHAnsi" w:hAnsiTheme="majorHAnsi"/>
        </w:rPr>
        <w:t>, even more importantly,</w:t>
      </w:r>
      <w:r w:rsidR="009635F4">
        <w:rPr>
          <w:rFonts w:asciiTheme="majorHAnsi" w:hAnsiTheme="majorHAnsi"/>
        </w:rPr>
        <w:t xml:space="preserve"> it can be in the form of deterrence vis-à-vis potential offenders. Thus, for access-to-litigation to have any differential effect—either progressive (</w:t>
      </w:r>
      <w:r w:rsidR="001A16A6">
        <w:rPr>
          <w:rFonts w:asciiTheme="majorHAnsi" w:hAnsiTheme="majorHAnsi"/>
        </w:rPr>
        <w:t>as imagined by some</w:t>
      </w:r>
      <w:r w:rsidR="00AF7B99">
        <w:rPr>
          <w:rFonts w:asciiTheme="majorHAnsi" w:hAnsiTheme="majorHAnsi"/>
        </w:rPr>
        <w:t>) or regressive (</w:t>
      </w:r>
      <w:r w:rsidR="009635F4">
        <w:rPr>
          <w:rFonts w:asciiTheme="majorHAnsi" w:hAnsiTheme="majorHAnsi"/>
        </w:rPr>
        <w:t xml:space="preserve">as argued in this paper)—it must be that class action judgments do not affect all consumers equally, or that class actions </w:t>
      </w:r>
      <w:r w:rsidR="00AF7B99">
        <w:rPr>
          <w:rFonts w:asciiTheme="majorHAnsi" w:hAnsiTheme="majorHAnsi"/>
        </w:rPr>
        <w:t xml:space="preserve">selectively </w:t>
      </w:r>
      <w:r w:rsidR="009635F4">
        <w:rPr>
          <w:rFonts w:asciiTheme="majorHAnsi" w:hAnsiTheme="majorHAnsi"/>
        </w:rPr>
        <w:t>address sub-categories of complaints that are more important to some groups, and less to others. These issues will be discussed in the final section of the paper.</w:t>
      </w:r>
    </w:p>
    <w:p w14:paraId="78F01AA1" w14:textId="77777777" w:rsidR="003A2E4C" w:rsidRPr="00223856" w:rsidRDefault="003A2E4C">
      <w:pPr>
        <w:rPr>
          <w:rFonts w:asciiTheme="majorHAnsi" w:hAnsiTheme="majorHAnsi"/>
        </w:rPr>
      </w:pPr>
    </w:p>
    <w:p w14:paraId="2E3A8AC0" w14:textId="77777777" w:rsidR="00662289" w:rsidRPr="001A16A6" w:rsidRDefault="009621DC" w:rsidP="009C2128">
      <w:pPr>
        <w:jc w:val="center"/>
        <w:rPr>
          <w:rFonts w:asciiTheme="majorHAnsi" w:hAnsiTheme="majorHAnsi"/>
          <w:b/>
        </w:rPr>
      </w:pPr>
      <w:r w:rsidRPr="001A16A6">
        <w:rPr>
          <w:rFonts w:asciiTheme="majorHAnsi" w:hAnsiTheme="majorHAnsi"/>
          <w:b/>
        </w:rPr>
        <w:t xml:space="preserve">II. </w:t>
      </w:r>
      <w:r w:rsidR="00A913E2" w:rsidRPr="001A16A6">
        <w:rPr>
          <w:rFonts w:asciiTheme="majorHAnsi" w:hAnsiTheme="majorHAnsi"/>
          <w:b/>
        </w:rPr>
        <w:t>“</w:t>
      </w:r>
      <w:r w:rsidR="00662289" w:rsidRPr="001A16A6">
        <w:rPr>
          <w:rFonts w:asciiTheme="majorHAnsi" w:hAnsiTheme="majorHAnsi"/>
          <w:b/>
        </w:rPr>
        <w:t>Open Access</w:t>
      </w:r>
      <w:r w:rsidR="00A913E2" w:rsidRPr="001A16A6">
        <w:rPr>
          <w:rFonts w:asciiTheme="majorHAnsi" w:hAnsiTheme="majorHAnsi"/>
          <w:b/>
        </w:rPr>
        <w:t>”</w:t>
      </w:r>
      <w:r w:rsidR="00662289" w:rsidRPr="001A16A6">
        <w:rPr>
          <w:rFonts w:asciiTheme="majorHAnsi" w:hAnsiTheme="majorHAnsi"/>
          <w:b/>
        </w:rPr>
        <w:t xml:space="preserve"> and Redistribution</w:t>
      </w:r>
    </w:p>
    <w:p w14:paraId="16E9AFC2" w14:textId="77777777" w:rsidR="00662289" w:rsidRPr="00223856" w:rsidRDefault="00662289">
      <w:pPr>
        <w:rPr>
          <w:rFonts w:asciiTheme="majorHAnsi" w:hAnsiTheme="majorHAnsi"/>
          <w:u w:val="single"/>
        </w:rPr>
      </w:pPr>
    </w:p>
    <w:p w14:paraId="1E086E4F" w14:textId="77777777" w:rsidR="003A2E4C" w:rsidRPr="00223856" w:rsidRDefault="00A913E2" w:rsidP="00962A7C">
      <w:pPr>
        <w:ind w:firstLine="720"/>
        <w:rPr>
          <w:rFonts w:asciiTheme="majorHAnsi" w:hAnsiTheme="majorHAnsi"/>
        </w:rPr>
      </w:pPr>
      <w:r w:rsidRPr="00223856">
        <w:rPr>
          <w:rFonts w:asciiTheme="majorHAnsi" w:hAnsiTheme="majorHAnsi"/>
        </w:rPr>
        <w:t xml:space="preserve">Open </w:t>
      </w:r>
      <w:proofErr w:type="gramStart"/>
      <w:r w:rsidRPr="00223856">
        <w:rPr>
          <w:rFonts w:asciiTheme="majorHAnsi" w:hAnsiTheme="majorHAnsi"/>
        </w:rPr>
        <w:t>access to court</w:t>
      </w:r>
      <w:r w:rsidR="00C96CAF" w:rsidRPr="00223856">
        <w:rPr>
          <w:rFonts w:asciiTheme="majorHAnsi" w:hAnsiTheme="majorHAnsi"/>
        </w:rPr>
        <w:t>s</w:t>
      </w:r>
      <w:r w:rsidRPr="00223856">
        <w:rPr>
          <w:rFonts w:asciiTheme="majorHAnsi" w:hAnsiTheme="majorHAnsi"/>
        </w:rPr>
        <w:t xml:space="preserve"> is </w:t>
      </w:r>
      <w:r w:rsidR="005D67FB" w:rsidRPr="00223856">
        <w:rPr>
          <w:rFonts w:asciiTheme="majorHAnsi" w:hAnsiTheme="majorHAnsi"/>
        </w:rPr>
        <w:t>a species of “access”</w:t>
      </w:r>
      <w:r w:rsidR="00C96CAF" w:rsidRPr="00223856">
        <w:rPr>
          <w:rFonts w:asciiTheme="majorHAnsi" w:hAnsiTheme="majorHAnsi"/>
        </w:rPr>
        <w:t xml:space="preserve"> policy</w:t>
      </w:r>
      <w:r w:rsidRPr="00223856">
        <w:rPr>
          <w:rFonts w:asciiTheme="majorHAnsi" w:hAnsiTheme="majorHAnsi"/>
        </w:rPr>
        <w:t>, and so let us begin</w:t>
      </w:r>
      <w:proofErr w:type="gramEnd"/>
      <w:r w:rsidRPr="00223856">
        <w:rPr>
          <w:rFonts w:asciiTheme="majorHAnsi" w:hAnsiTheme="majorHAnsi"/>
        </w:rPr>
        <w:t xml:space="preserve"> by thinking more generally about open access within our social order.  </w:t>
      </w:r>
      <w:r w:rsidR="003A2E4C" w:rsidRPr="00223856">
        <w:rPr>
          <w:rFonts w:asciiTheme="majorHAnsi" w:hAnsiTheme="majorHAnsi"/>
        </w:rPr>
        <w:t xml:space="preserve">The ideal of </w:t>
      </w:r>
      <w:r w:rsidR="00112B29" w:rsidRPr="00223856">
        <w:rPr>
          <w:rFonts w:asciiTheme="majorHAnsi" w:hAnsiTheme="majorHAnsi"/>
        </w:rPr>
        <w:t>open a</w:t>
      </w:r>
      <w:r w:rsidR="003A2E4C" w:rsidRPr="00223856">
        <w:rPr>
          <w:rFonts w:asciiTheme="majorHAnsi" w:hAnsiTheme="majorHAnsi"/>
        </w:rPr>
        <w:t xml:space="preserve">ccess is fundamental to the allocation of primary goods in a liberal society. Societies provide </w:t>
      </w:r>
      <w:r w:rsidR="00112B29" w:rsidRPr="00223856">
        <w:rPr>
          <w:rFonts w:asciiTheme="majorHAnsi" w:hAnsiTheme="majorHAnsi"/>
        </w:rPr>
        <w:t>open</w:t>
      </w:r>
      <w:r w:rsidR="003A2E4C" w:rsidRPr="00223856">
        <w:rPr>
          <w:rFonts w:asciiTheme="majorHAnsi" w:hAnsiTheme="majorHAnsi"/>
        </w:rPr>
        <w:t xml:space="preserve"> access to a variety of basic goods and services like primary education, public parks and beaches, roads,</w:t>
      </w:r>
      <w:r w:rsidR="006724C0" w:rsidRPr="00223856">
        <w:rPr>
          <w:rFonts w:asciiTheme="majorHAnsi" w:hAnsiTheme="majorHAnsi"/>
        </w:rPr>
        <w:t xml:space="preserve"> libraries,</w:t>
      </w:r>
      <w:r w:rsidR="003A2E4C" w:rsidRPr="00223856">
        <w:rPr>
          <w:rFonts w:asciiTheme="majorHAnsi" w:hAnsiTheme="majorHAnsi"/>
        </w:rPr>
        <w:t xml:space="preserve"> </w:t>
      </w:r>
      <w:r w:rsidR="003E2EBC" w:rsidRPr="00223856">
        <w:rPr>
          <w:rFonts w:asciiTheme="majorHAnsi" w:hAnsiTheme="majorHAnsi"/>
        </w:rPr>
        <w:t xml:space="preserve">museums, </w:t>
      </w:r>
      <w:r w:rsidR="003A2E4C" w:rsidRPr="00223856">
        <w:rPr>
          <w:rFonts w:asciiTheme="majorHAnsi" w:hAnsiTheme="majorHAnsi"/>
        </w:rPr>
        <w:t xml:space="preserve">emergency </w:t>
      </w:r>
      <w:r w:rsidR="00C95C65" w:rsidRPr="00223856">
        <w:rPr>
          <w:rFonts w:asciiTheme="majorHAnsi" w:hAnsiTheme="majorHAnsi"/>
        </w:rPr>
        <w:t>services</w:t>
      </w:r>
      <w:r w:rsidR="003A2E4C" w:rsidRPr="00223856">
        <w:rPr>
          <w:rFonts w:asciiTheme="majorHAnsi" w:hAnsiTheme="majorHAnsi"/>
        </w:rPr>
        <w:t>, and, o</w:t>
      </w:r>
      <w:r w:rsidR="00C95C65" w:rsidRPr="00223856">
        <w:rPr>
          <w:rFonts w:asciiTheme="majorHAnsi" w:hAnsiTheme="majorHAnsi"/>
        </w:rPr>
        <w:t>f</w:t>
      </w:r>
      <w:r w:rsidR="00A1643E" w:rsidRPr="00223856">
        <w:rPr>
          <w:rFonts w:asciiTheme="majorHAnsi" w:hAnsiTheme="majorHAnsi"/>
        </w:rPr>
        <w:t xml:space="preserve"> course, courts of law.</w:t>
      </w:r>
    </w:p>
    <w:p w14:paraId="447C9574" w14:textId="77777777" w:rsidR="003E2EBC" w:rsidRPr="00223856" w:rsidRDefault="003E2EBC">
      <w:pPr>
        <w:rPr>
          <w:rFonts w:asciiTheme="majorHAnsi" w:hAnsiTheme="majorHAnsi"/>
        </w:rPr>
      </w:pPr>
    </w:p>
    <w:p w14:paraId="7A7E6B4A" w14:textId="77777777" w:rsidR="009C201D" w:rsidRPr="00223856" w:rsidRDefault="003E2EBC" w:rsidP="00962A7C">
      <w:pPr>
        <w:ind w:firstLine="720"/>
        <w:rPr>
          <w:rFonts w:asciiTheme="majorHAnsi" w:hAnsiTheme="majorHAnsi"/>
        </w:rPr>
      </w:pPr>
      <w:r w:rsidRPr="00223856">
        <w:rPr>
          <w:rFonts w:asciiTheme="majorHAnsi" w:hAnsiTheme="majorHAnsi"/>
        </w:rPr>
        <w:t>Th</w:t>
      </w:r>
      <w:r w:rsidR="009C2FB8" w:rsidRPr="00223856">
        <w:rPr>
          <w:rFonts w:asciiTheme="majorHAnsi" w:hAnsiTheme="majorHAnsi"/>
        </w:rPr>
        <w:t>ere is a strong notion of equality underlying</w:t>
      </w:r>
      <w:r w:rsidRPr="00223856">
        <w:rPr>
          <w:rFonts w:asciiTheme="majorHAnsi" w:hAnsiTheme="majorHAnsi"/>
        </w:rPr>
        <w:t xml:space="preserve"> such </w:t>
      </w:r>
      <w:r w:rsidR="00112B29" w:rsidRPr="00223856">
        <w:rPr>
          <w:rFonts w:asciiTheme="majorHAnsi" w:hAnsiTheme="majorHAnsi"/>
        </w:rPr>
        <w:t>open a</w:t>
      </w:r>
      <w:r w:rsidR="009C2FB8" w:rsidRPr="00223856">
        <w:rPr>
          <w:rFonts w:asciiTheme="majorHAnsi" w:hAnsiTheme="majorHAnsi"/>
        </w:rPr>
        <w:t xml:space="preserve">ccess policies. </w:t>
      </w:r>
      <w:r w:rsidRPr="00223856">
        <w:rPr>
          <w:rFonts w:asciiTheme="majorHAnsi" w:hAnsiTheme="majorHAnsi"/>
        </w:rPr>
        <w:t xml:space="preserve">If </w:t>
      </w:r>
      <w:r w:rsidR="00112B29" w:rsidRPr="00223856">
        <w:rPr>
          <w:rFonts w:asciiTheme="majorHAnsi" w:hAnsiTheme="majorHAnsi"/>
        </w:rPr>
        <w:t>these</w:t>
      </w:r>
      <w:r w:rsidRPr="00223856">
        <w:rPr>
          <w:rFonts w:asciiTheme="majorHAnsi" w:hAnsiTheme="majorHAnsi"/>
        </w:rPr>
        <w:t xml:space="preserve"> goods </w:t>
      </w:r>
      <w:r w:rsidR="009C2FB8" w:rsidRPr="00223856">
        <w:rPr>
          <w:rFonts w:asciiTheme="majorHAnsi" w:hAnsiTheme="majorHAnsi"/>
        </w:rPr>
        <w:t xml:space="preserve">and services </w:t>
      </w:r>
      <w:r w:rsidRPr="00223856">
        <w:rPr>
          <w:rFonts w:asciiTheme="majorHAnsi" w:hAnsiTheme="majorHAnsi"/>
        </w:rPr>
        <w:t xml:space="preserve">where subject to market allocations, instead of </w:t>
      </w:r>
      <w:r w:rsidR="00112B29" w:rsidRPr="00223856">
        <w:rPr>
          <w:rFonts w:asciiTheme="majorHAnsi" w:hAnsiTheme="majorHAnsi"/>
        </w:rPr>
        <w:t xml:space="preserve">being open to all through </w:t>
      </w:r>
      <w:r w:rsidRPr="00223856">
        <w:rPr>
          <w:rFonts w:asciiTheme="majorHAnsi" w:hAnsiTheme="majorHAnsi"/>
        </w:rPr>
        <w:t>government mandate</w:t>
      </w:r>
      <w:r w:rsidR="00112B29" w:rsidRPr="00223856">
        <w:rPr>
          <w:rFonts w:asciiTheme="majorHAnsi" w:hAnsiTheme="majorHAnsi"/>
        </w:rPr>
        <w:t>s</w:t>
      </w:r>
      <w:r w:rsidRPr="00223856">
        <w:rPr>
          <w:rFonts w:asciiTheme="majorHAnsi" w:hAnsiTheme="majorHAnsi"/>
        </w:rPr>
        <w:t xml:space="preserve"> (and fund</w:t>
      </w:r>
      <w:r w:rsidR="00112B29" w:rsidRPr="00223856">
        <w:rPr>
          <w:rFonts w:asciiTheme="majorHAnsi" w:hAnsiTheme="majorHAnsi"/>
        </w:rPr>
        <w:t>ing</w:t>
      </w:r>
      <w:r w:rsidRPr="00223856">
        <w:rPr>
          <w:rFonts w:asciiTheme="majorHAnsi" w:hAnsiTheme="majorHAnsi"/>
        </w:rPr>
        <w:t xml:space="preserve">), the poor and the less sophisticated </w:t>
      </w:r>
      <w:r w:rsidR="00E84058" w:rsidRPr="00223856">
        <w:rPr>
          <w:rFonts w:asciiTheme="majorHAnsi" w:hAnsiTheme="majorHAnsi"/>
        </w:rPr>
        <w:t>would</w:t>
      </w:r>
      <w:r w:rsidRPr="00223856">
        <w:rPr>
          <w:rFonts w:asciiTheme="majorHAnsi" w:hAnsiTheme="majorHAnsi"/>
        </w:rPr>
        <w:t xml:space="preserve"> disproportionately </w:t>
      </w:r>
      <w:r w:rsidR="00E84058" w:rsidRPr="00223856">
        <w:rPr>
          <w:rFonts w:asciiTheme="majorHAnsi" w:hAnsiTheme="majorHAnsi"/>
        </w:rPr>
        <w:t xml:space="preserve">be </w:t>
      </w:r>
      <w:r w:rsidRPr="00223856">
        <w:rPr>
          <w:rFonts w:asciiTheme="majorHAnsi" w:hAnsiTheme="majorHAnsi"/>
        </w:rPr>
        <w:t xml:space="preserve">priced out. </w:t>
      </w:r>
      <w:r w:rsidR="00112B29" w:rsidRPr="00223856">
        <w:rPr>
          <w:rFonts w:asciiTheme="majorHAnsi" w:hAnsiTheme="majorHAnsi"/>
        </w:rPr>
        <w:t xml:space="preserve">Open access </w:t>
      </w:r>
      <w:r w:rsidR="00E84058" w:rsidRPr="00223856">
        <w:rPr>
          <w:rFonts w:asciiTheme="majorHAnsi" w:hAnsiTheme="majorHAnsi"/>
        </w:rPr>
        <w:t>enables those who could</w:t>
      </w:r>
      <w:r w:rsidR="00112B29" w:rsidRPr="00223856">
        <w:rPr>
          <w:rFonts w:asciiTheme="majorHAnsi" w:hAnsiTheme="majorHAnsi"/>
        </w:rPr>
        <w:t xml:space="preserve"> </w:t>
      </w:r>
      <w:r w:rsidR="00E84058" w:rsidRPr="00223856">
        <w:rPr>
          <w:rFonts w:asciiTheme="majorHAnsi" w:hAnsiTheme="majorHAnsi"/>
        </w:rPr>
        <w:t xml:space="preserve">not </w:t>
      </w:r>
      <w:r w:rsidR="00112B29" w:rsidRPr="00223856">
        <w:rPr>
          <w:rFonts w:asciiTheme="majorHAnsi" w:hAnsiTheme="majorHAnsi"/>
        </w:rPr>
        <w:t>otherwise afford to pay entry</w:t>
      </w:r>
      <w:r w:rsidR="00E84058" w:rsidRPr="00223856">
        <w:rPr>
          <w:rFonts w:asciiTheme="majorHAnsi" w:hAnsiTheme="majorHAnsi"/>
        </w:rPr>
        <w:t xml:space="preserve"> </w:t>
      </w:r>
      <w:r w:rsidR="00F26F02" w:rsidRPr="00223856">
        <w:rPr>
          <w:rFonts w:asciiTheme="majorHAnsi" w:hAnsiTheme="majorHAnsi"/>
        </w:rPr>
        <w:t xml:space="preserve">tolls and service fees </w:t>
      </w:r>
      <w:r w:rsidR="00E84058" w:rsidRPr="00223856">
        <w:rPr>
          <w:rFonts w:asciiTheme="majorHAnsi" w:hAnsiTheme="majorHAnsi"/>
        </w:rPr>
        <w:t xml:space="preserve">to consume the freely </w:t>
      </w:r>
      <w:r w:rsidR="009C2FB8" w:rsidRPr="00223856">
        <w:rPr>
          <w:rFonts w:asciiTheme="majorHAnsi" w:hAnsiTheme="majorHAnsi"/>
        </w:rPr>
        <w:t>accessed</w:t>
      </w:r>
      <w:r w:rsidR="00E84058" w:rsidRPr="00223856">
        <w:rPr>
          <w:rFonts w:asciiTheme="majorHAnsi" w:hAnsiTheme="majorHAnsi"/>
        </w:rPr>
        <w:t xml:space="preserve"> good</w:t>
      </w:r>
      <w:r w:rsidR="00112B29" w:rsidRPr="00223856">
        <w:rPr>
          <w:rFonts w:asciiTheme="majorHAnsi" w:hAnsiTheme="majorHAnsi"/>
        </w:rPr>
        <w:t xml:space="preserve">. </w:t>
      </w:r>
      <w:r w:rsidR="00E84058" w:rsidRPr="00223856">
        <w:rPr>
          <w:rFonts w:asciiTheme="majorHAnsi" w:hAnsiTheme="majorHAnsi"/>
        </w:rPr>
        <w:t xml:space="preserve">Since it is funded by tax revenue, </w:t>
      </w:r>
      <w:r w:rsidR="00962A7C">
        <w:rPr>
          <w:rFonts w:asciiTheme="majorHAnsi" w:hAnsiTheme="majorHAnsi"/>
        </w:rPr>
        <w:t xml:space="preserve">the </w:t>
      </w:r>
      <w:r w:rsidR="00E84058" w:rsidRPr="00223856">
        <w:rPr>
          <w:rFonts w:asciiTheme="majorHAnsi" w:hAnsiTheme="majorHAnsi"/>
        </w:rPr>
        <w:t>open access policy is a</w:t>
      </w:r>
      <w:r w:rsidR="009C201D" w:rsidRPr="00223856">
        <w:rPr>
          <w:rFonts w:asciiTheme="majorHAnsi" w:hAnsiTheme="majorHAnsi"/>
        </w:rPr>
        <w:t>n implicit cross subsidy. If tax revenues are collected more from the wealthy, but the good is available to all</w:t>
      </w:r>
      <w:r w:rsidR="00F26F02" w:rsidRPr="00223856">
        <w:rPr>
          <w:rFonts w:asciiTheme="majorHAnsi" w:hAnsiTheme="majorHAnsi"/>
        </w:rPr>
        <w:t xml:space="preserve"> and broadly used by lower income citizens</w:t>
      </w:r>
      <w:r w:rsidR="009C201D" w:rsidRPr="00223856">
        <w:rPr>
          <w:rFonts w:asciiTheme="majorHAnsi" w:hAnsiTheme="majorHAnsi"/>
        </w:rPr>
        <w:t>, the cross subsidy is a form of</w:t>
      </w:r>
      <w:r w:rsidR="00E84058" w:rsidRPr="00223856">
        <w:rPr>
          <w:rFonts w:asciiTheme="majorHAnsi" w:hAnsiTheme="majorHAnsi"/>
        </w:rPr>
        <w:t xml:space="preserve"> progressive, redistributive allocation. </w:t>
      </w:r>
    </w:p>
    <w:p w14:paraId="5EE6E227" w14:textId="77777777" w:rsidR="009C201D" w:rsidRPr="00223856" w:rsidRDefault="009C201D">
      <w:pPr>
        <w:rPr>
          <w:rFonts w:asciiTheme="majorHAnsi" w:hAnsiTheme="majorHAnsi"/>
        </w:rPr>
      </w:pPr>
    </w:p>
    <w:p w14:paraId="5A7EDE23" w14:textId="77777777" w:rsidR="003E2EBC" w:rsidRPr="00223856" w:rsidRDefault="009C201D" w:rsidP="00962A7C">
      <w:pPr>
        <w:ind w:firstLine="720"/>
        <w:rPr>
          <w:rFonts w:asciiTheme="majorHAnsi" w:hAnsiTheme="majorHAnsi"/>
        </w:rPr>
      </w:pPr>
      <w:r w:rsidRPr="00223856">
        <w:rPr>
          <w:rFonts w:asciiTheme="majorHAnsi" w:hAnsiTheme="majorHAnsi"/>
        </w:rPr>
        <w:t xml:space="preserve">In some important cases, </w:t>
      </w:r>
      <w:r w:rsidR="009C2FB8" w:rsidRPr="00223856">
        <w:rPr>
          <w:rFonts w:asciiTheme="majorHAnsi" w:hAnsiTheme="majorHAnsi"/>
        </w:rPr>
        <w:t>the cross-subsidy brought upon by open access</w:t>
      </w:r>
      <w:r w:rsidRPr="00223856">
        <w:rPr>
          <w:rFonts w:asciiTheme="majorHAnsi" w:hAnsiTheme="majorHAnsi"/>
        </w:rPr>
        <w:t xml:space="preserve"> is indeed progr</w:t>
      </w:r>
      <w:r w:rsidR="009C2FB8" w:rsidRPr="00223856">
        <w:rPr>
          <w:rFonts w:asciiTheme="majorHAnsi" w:hAnsiTheme="majorHAnsi"/>
        </w:rPr>
        <w:t>essive, favoring low-</w:t>
      </w:r>
      <w:r w:rsidRPr="00223856">
        <w:rPr>
          <w:rFonts w:asciiTheme="majorHAnsi" w:hAnsiTheme="majorHAnsi"/>
        </w:rPr>
        <w:t xml:space="preserve">income people. </w:t>
      </w:r>
      <w:r w:rsidR="00F00B50" w:rsidRPr="00223856">
        <w:rPr>
          <w:rFonts w:asciiTheme="majorHAnsi" w:hAnsiTheme="majorHAnsi"/>
        </w:rPr>
        <w:t xml:space="preserve">This is </w:t>
      </w:r>
      <w:r w:rsidR="009C2FB8" w:rsidRPr="00223856">
        <w:rPr>
          <w:rFonts w:asciiTheme="majorHAnsi" w:hAnsiTheme="majorHAnsi"/>
        </w:rPr>
        <w:t>largely the</w:t>
      </w:r>
      <w:r w:rsidR="00F00B50" w:rsidRPr="00223856">
        <w:rPr>
          <w:rFonts w:asciiTheme="majorHAnsi" w:hAnsiTheme="majorHAnsi"/>
        </w:rPr>
        <w:t xml:space="preserve"> case </w:t>
      </w:r>
      <w:r w:rsidR="00962A7C">
        <w:rPr>
          <w:rFonts w:asciiTheme="majorHAnsi" w:hAnsiTheme="majorHAnsi"/>
        </w:rPr>
        <w:t>with respect to</w:t>
      </w:r>
      <w:r w:rsidR="00F00B50" w:rsidRPr="00223856">
        <w:rPr>
          <w:rFonts w:asciiTheme="majorHAnsi" w:hAnsiTheme="majorHAnsi"/>
        </w:rPr>
        <w:t xml:space="preserve"> primary school education in most big American cities, as well as</w:t>
      </w:r>
      <w:r w:rsidR="009C2FB8" w:rsidRPr="00223856">
        <w:rPr>
          <w:rFonts w:asciiTheme="majorHAnsi" w:hAnsiTheme="majorHAnsi"/>
        </w:rPr>
        <w:t xml:space="preserve"> access to</w:t>
      </w:r>
      <w:r w:rsidR="00F00B50" w:rsidRPr="00223856">
        <w:rPr>
          <w:rFonts w:asciiTheme="majorHAnsi" w:hAnsiTheme="majorHAnsi"/>
        </w:rPr>
        <w:t xml:space="preserve"> </w:t>
      </w:r>
      <w:r w:rsidR="009C2FB8" w:rsidRPr="00223856">
        <w:rPr>
          <w:rFonts w:asciiTheme="majorHAnsi" w:hAnsiTheme="majorHAnsi"/>
        </w:rPr>
        <w:t>emergency</w:t>
      </w:r>
      <w:r w:rsidR="00F00B50" w:rsidRPr="00223856">
        <w:rPr>
          <w:rFonts w:asciiTheme="majorHAnsi" w:hAnsiTheme="majorHAnsi"/>
        </w:rPr>
        <w:t xml:space="preserve"> medical care</w:t>
      </w:r>
      <w:r w:rsidR="009C2FB8" w:rsidRPr="00223856">
        <w:rPr>
          <w:rFonts w:asciiTheme="majorHAnsi" w:hAnsiTheme="majorHAnsi"/>
        </w:rPr>
        <w:t>,</w:t>
      </w:r>
      <w:r w:rsidR="00F00B50" w:rsidRPr="00223856">
        <w:rPr>
          <w:rFonts w:asciiTheme="majorHAnsi" w:hAnsiTheme="majorHAnsi"/>
        </w:rPr>
        <w:t xml:space="preserve"> or </w:t>
      </w:r>
      <w:r w:rsidR="009C2FB8" w:rsidRPr="00223856">
        <w:rPr>
          <w:rFonts w:asciiTheme="majorHAnsi" w:hAnsiTheme="majorHAnsi"/>
        </w:rPr>
        <w:t xml:space="preserve">to </w:t>
      </w:r>
      <w:r w:rsidR="00F00B50" w:rsidRPr="00223856">
        <w:rPr>
          <w:rFonts w:asciiTheme="majorHAnsi" w:hAnsiTheme="majorHAnsi"/>
        </w:rPr>
        <w:t>city parks.</w:t>
      </w:r>
      <w:r w:rsidRPr="00223856">
        <w:rPr>
          <w:rFonts w:asciiTheme="majorHAnsi" w:hAnsiTheme="majorHAnsi"/>
        </w:rPr>
        <w:t xml:space="preserve"> In </w:t>
      </w:r>
      <w:r w:rsidR="00F26F02" w:rsidRPr="00223856">
        <w:rPr>
          <w:rFonts w:asciiTheme="majorHAnsi" w:hAnsiTheme="majorHAnsi"/>
        </w:rPr>
        <w:t xml:space="preserve">the </w:t>
      </w:r>
      <w:r w:rsidRPr="00223856">
        <w:rPr>
          <w:rFonts w:asciiTheme="majorHAnsi" w:hAnsiTheme="majorHAnsi"/>
        </w:rPr>
        <w:t xml:space="preserve">public school context, </w:t>
      </w:r>
      <w:r w:rsidR="00F26F02" w:rsidRPr="00223856">
        <w:rPr>
          <w:rFonts w:asciiTheme="majorHAnsi" w:hAnsiTheme="majorHAnsi"/>
        </w:rPr>
        <w:t>two important sources of</w:t>
      </w:r>
      <w:r w:rsidRPr="00223856">
        <w:rPr>
          <w:rFonts w:asciiTheme="majorHAnsi" w:hAnsiTheme="majorHAnsi"/>
        </w:rPr>
        <w:t xml:space="preserve"> funding </w:t>
      </w:r>
      <w:r w:rsidR="00F26F02" w:rsidRPr="00223856">
        <w:rPr>
          <w:rFonts w:asciiTheme="majorHAnsi" w:hAnsiTheme="majorHAnsi"/>
        </w:rPr>
        <w:t>are</w:t>
      </w:r>
      <w:r w:rsidRPr="00223856">
        <w:rPr>
          <w:rFonts w:asciiTheme="majorHAnsi" w:hAnsiTheme="majorHAnsi"/>
        </w:rPr>
        <w:t xml:space="preserve"> property </w:t>
      </w:r>
      <w:r w:rsidR="00F26F02" w:rsidRPr="00223856">
        <w:rPr>
          <w:rFonts w:asciiTheme="majorHAnsi" w:hAnsiTheme="majorHAnsi"/>
        </w:rPr>
        <w:t xml:space="preserve">and income </w:t>
      </w:r>
      <w:r w:rsidRPr="00223856">
        <w:rPr>
          <w:rFonts w:asciiTheme="majorHAnsi" w:hAnsiTheme="majorHAnsi"/>
        </w:rPr>
        <w:t xml:space="preserve">taxes, which are paid largely by higher income </w:t>
      </w:r>
      <w:r w:rsidR="009C2FB8" w:rsidRPr="00223856">
        <w:rPr>
          <w:rFonts w:asciiTheme="majorHAnsi" w:hAnsiTheme="majorHAnsi"/>
        </w:rPr>
        <w:t>property owners</w:t>
      </w:r>
      <w:r w:rsidRPr="00223856">
        <w:rPr>
          <w:rFonts w:asciiTheme="majorHAnsi" w:hAnsiTheme="majorHAnsi"/>
        </w:rPr>
        <w:t xml:space="preserve">. And </w:t>
      </w:r>
      <w:r w:rsidR="009C2FB8" w:rsidRPr="00223856">
        <w:rPr>
          <w:rFonts w:asciiTheme="majorHAnsi" w:hAnsiTheme="majorHAnsi"/>
        </w:rPr>
        <w:t>public schools are more likely to be attended by low-</w:t>
      </w:r>
      <w:r w:rsidRPr="00223856">
        <w:rPr>
          <w:rFonts w:asciiTheme="majorHAnsi" w:hAnsiTheme="majorHAnsi"/>
        </w:rPr>
        <w:t xml:space="preserve">income population, since higher income families often opt out for private education. The same is true for city parks and beaches, a more </w:t>
      </w:r>
      <w:r w:rsidR="009C2FB8" w:rsidRPr="00223856">
        <w:rPr>
          <w:rFonts w:asciiTheme="majorHAnsi" w:hAnsiTheme="majorHAnsi"/>
        </w:rPr>
        <w:t>likely</w:t>
      </w:r>
      <w:r w:rsidR="00A1643E" w:rsidRPr="00223856">
        <w:rPr>
          <w:rFonts w:asciiTheme="majorHAnsi" w:hAnsiTheme="majorHAnsi"/>
        </w:rPr>
        <w:t xml:space="preserve"> destination of low-</w:t>
      </w:r>
      <w:r w:rsidRPr="00223856">
        <w:rPr>
          <w:rFonts w:asciiTheme="majorHAnsi" w:hAnsiTheme="majorHAnsi"/>
        </w:rPr>
        <w:t xml:space="preserve">income residents who cannot afford remote and luxurious </w:t>
      </w:r>
      <w:r w:rsidR="009C2FB8" w:rsidRPr="00223856">
        <w:rPr>
          <w:rFonts w:asciiTheme="majorHAnsi" w:hAnsiTheme="majorHAnsi"/>
        </w:rPr>
        <w:t>vacation</w:t>
      </w:r>
      <w:r w:rsidRPr="00223856">
        <w:rPr>
          <w:rFonts w:asciiTheme="majorHAnsi" w:hAnsiTheme="majorHAnsi"/>
        </w:rPr>
        <w:t xml:space="preserve"> destinations.</w:t>
      </w:r>
    </w:p>
    <w:p w14:paraId="501CDB1A" w14:textId="77777777" w:rsidR="009C201D" w:rsidRPr="00223856" w:rsidRDefault="009C201D">
      <w:pPr>
        <w:rPr>
          <w:rFonts w:asciiTheme="majorHAnsi" w:hAnsiTheme="majorHAnsi"/>
        </w:rPr>
      </w:pPr>
    </w:p>
    <w:p w14:paraId="7E0E4DFB" w14:textId="77777777" w:rsidR="009C201D" w:rsidRPr="00223856" w:rsidRDefault="00A1643E" w:rsidP="00962A7C">
      <w:pPr>
        <w:ind w:firstLine="720"/>
        <w:rPr>
          <w:rFonts w:asciiTheme="majorHAnsi" w:hAnsiTheme="majorHAnsi"/>
        </w:rPr>
      </w:pPr>
      <w:r w:rsidRPr="00223856">
        <w:rPr>
          <w:rFonts w:asciiTheme="majorHAnsi" w:hAnsiTheme="majorHAnsi"/>
        </w:rPr>
        <w:t>But in an important class of cases, t</w:t>
      </w:r>
      <w:r w:rsidR="009C201D" w:rsidRPr="00223856">
        <w:rPr>
          <w:rFonts w:asciiTheme="majorHAnsi" w:hAnsiTheme="majorHAnsi"/>
        </w:rPr>
        <w:t>he direction of the cross subsidy is often favorable to the middle class. George Stigler called it “Director’s Law” of public income redistribution, suggesting that public expenditures financed by taxes are</w:t>
      </w:r>
      <w:r w:rsidR="009C2FB8" w:rsidRPr="00223856">
        <w:rPr>
          <w:rFonts w:asciiTheme="majorHAnsi" w:hAnsiTheme="majorHAnsi"/>
        </w:rPr>
        <w:t xml:space="preserve"> often</w:t>
      </w:r>
      <w:r w:rsidR="009C201D" w:rsidRPr="00223856">
        <w:rPr>
          <w:rFonts w:asciiTheme="majorHAnsi" w:hAnsiTheme="majorHAnsi"/>
        </w:rPr>
        <w:t xml:space="preserve"> made for the primary benefit of the middle class.</w:t>
      </w:r>
      <w:r w:rsidR="009C201D" w:rsidRPr="00093969">
        <w:rPr>
          <w:rStyle w:val="FootnoteReference"/>
        </w:rPr>
        <w:footnoteReference w:id="12"/>
      </w:r>
      <w:r w:rsidR="00CA517F" w:rsidRPr="00223856">
        <w:rPr>
          <w:rFonts w:asciiTheme="majorHAnsi" w:hAnsiTheme="majorHAnsi"/>
        </w:rPr>
        <w:t xml:space="preserve"> He suggested that social </w:t>
      </w:r>
      <w:proofErr w:type="gramStart"/>
      <w:r w:rsidR="00CA517F" w:rsidRPr="00223856">
        <w:rPr>
          <w:rFonts w:asciiTheme="majorHAnsi" w:hAnsiTheme="majorHAnsi"/>
        </w:rPr>
        <w:t>security</w:t>
      </w:r>
      <w:r w:rsidR="009C2FB8" w:rsidRPr="00223856">
        <w:rPr>
          <w:rFonts w:asciiTheme="majorHAnsi" w:hAnsiTheme="majorHAnsi"/>
        </w:rPr>
        <w:t>, or</w:t>
      </w:r>
      <w:r w:rsidR="00CA517F" w:rsidRPr="00223856">
        <w:rPr>
          <w:rFonts w:asciiTheme="majorHAnsi" w:hAnsiTheme="majorHAnsi"/>
        </w:rPr>
        <w:t xml:space="preserve"> tax exempt</w:t>
      </w:r>
      <w:r w:rsidR="009C2FB8" w:rsidRPr="00223856">
        <w:rPr>
          <w:rFonts w:asciiTheme="majorHAnsi" w:hAnsiTheme="majorHAnsi"/>
        </w:rPr>
        <w:t>ions for</w:t>
      </w:r>
      <w:r w:rsidR="00CA517F" w:rsidRPr="00223856">
        <w:rPr>
          <w:rFonts w:asciiTheme="majorHAnsi" w:hAnsiTheme="majorHAnsi"/>
        </w:rPr>
        <w:t xml:space="preserve"> </w:t>
      </w:r>
      <w:r w:rsidR="009C2FB8" w:rsidRPr="00223856">
        <w:rPr>
          <w:rFonts w:asciiTheme="majorHAnsi" w:hAnsiTheme="majorHAnsi"/>
        </w:rPr>
        <w:t>churches,</w:t>
      </w:r>
      <w:r w:rsidR="00CA517F" w:rsidRPr="00223856">
        <w:rPr>
          <w:rFonts w:asciiTheme="majorHAnsi" w:hAnsiTheme="majorHAnsi"/>
        </w:rPr>
        <w:t xml:space="preserve"> are</w:t>
      </w:r>
      <w:proofErr w:type="gramEnd"/>
      <w:r w:rsidR="00CA517F" w:rsidRPr="00223856">
        <w:rPr>
          <w:rFonts w:asciiTheme="majorHAnsi" w:hAnsiTheme="majorHAnsi"/>
        </w:rPr>
        <w:t xml:space="preserve"> example for such pro- middle class redistribution. Social security, for example, taxes most heavily, relative to the benefits they will receive, those who begin work early (instead of continuing in school) or those who die early, all favoring the middle class.</w:t>
      </w:r>
    </w:p>
    <w:p w14:paraId="05D298B6" w14:textId="77777777" w:rsidR="00EB1582" w:rsidRPr="00223856" w:rsidRDefault="00EB1582">
      <w:pPr>
        <w:rPr>
          <w:rFonts w:asciiTheme="majorHAnsi" w:hAnsiTheme="majorHAnsi"/>
        </w:rPr>
      </w:pPr>
    </w:p>
    <w:p w14:paraId="7B3941C6" w14:textId="77777777" w:rsidR="00CA517F" w:rsidRPr="00223856" w:rsidRDefault="00F00B50" w:rsidP="002E3604">
      <w:pPr>
        <w:ind w:firstLine="720"/>
        <w:rPr>
          <w:rFonts w:asciiTheme="majorHAnsi" w:hAnsiTheme="majorHAnsi"/>
        </w:rPr>
      </w:pPr>
      <w:r w:rsidRPr="00223856">
        <w:rPr>
          <w:rFonts w:asciiTheme="majorHAnsi" w:hAnsiTheme="majorHAnsi"/>
        </w:rPr>
        <w:t xml:space="preserve">The direction of the cross subsidy </w:t>
      </w:r>
      <w:r w:rsidR="00CA517F" w:rsidRPr="00223856">
        <w:rPr>
          <w:rFonts w:asciiTheme="majorHAnsi" w:hAnsiTheme="majorHAnsi"/>
        </w:rPr>
        <w:t>becomes</w:t>
      </w:r>
      <w:r w:rsidRPr="00223856">
        <w:rPr>
          <w:rFonts w:asciiTheme="majorHAnsi" w:hAnsiTheme="majorHAnsi"/>
        </w:rPr>
        <w:t xml:space="preserve"> </w:t>
      </w:r>
      <w:r w:rsidR="00F26F02" w:rsidRPr="00223856">
        <w:rPr>
          <w:rFonts w:asciiTheme="majorHAnsi" w:hAnsiTheme="majorHAnsi"/>
        </w:rPr>
        <w:t>less obvious</w:t>
      </w:r>
      <w:r w:rsidR="00CA517F" w:rsidRPr="00223856">
        <w:rPr>
          <w:rFonts w:asciiTheme="majorHAnsi" w:hAnsiTheme="majorHAnsi"/>
        </w:rPr>
        <w:t xml:space="preserve">, and </w:t>
      </w:r>
      <w:r w:rsidR="00A1643E" w:rsidRPr="00223856">
        <w:rPr>
          <w:rFonts w:asciiTheme="majorHAnsi" w:hAnsiTheme="majorHAnsi"/>
        </w:rPr>
        <w:t>tends towards the</w:t>
      </w:r>
      <w:r w:rsidR="00CA517F" w:rsidRPr="00223856">
        <w:rPr>
          <w:rFonts w:asciiTheme="majorHAnsi" w:hAnsiTheme="majorHAnsi"/>
        </w:rPr>
        <w:t xml:space="preserve"> regressive,</w:t>
      </w:r>
      <w:r w:rsidRPr="00223856">
        <w:rPr>
          <w:rFonts w:asciiTheme="majorHAnsi" w:hAnsiTheme="majorHAnsi"/>
        </w:rPr>
        <w:t xml:space="preserve"> when we </w:t>
      </w:r>
      <w:r w:rsidR="00CA517F" w:rsidRPr="00223856">
        <w:rPr>
          <w:rFonts w:asciiTheme="majorHAnsi" w:hAnsiTheme="majorHAnsi"/>
        </w:rPr>
        <w:t>consider</w:t>
      </w:r>
      <w:r w:rsidRPr="00223856">
        <w:rPr>
          <w:rFonts w:asciiTheme="majorHAnsi" w:hAnsiTheme="majorHAnsi"/>
        </w:rPr>
        <w:t xml:space="preserve"> open access to</w:t>
      </w:r>
      <w:r w:rsidR="00CA517F" w:rsidRPr="00223856">
        <w:rPr>
          <w:rFonts w:asciiTheme="majorHAnsi" w:hAnsiTheme="majorHAnsi"/>
        </w:rPr>
        <w:t>, for example,</w:t>
      </w:r>
      <w:r w:rsidRPr="00223856">
        <w:rPr>
          <w:rFonts w:asciiTheme="majorHAnsi" w:hAnsiTheme="majorHAnsi"/>
        </w:rPr>
        <w:t xml:space="preserve"> remote parks, libraries, or museums. To access a remote national park, people need to travel a distance, and those with cars, with leisure time, with appreciation for nature, and with disposable income to </w:t>
      </w:r>
      <w:r w:rsidR="00CA517F" w:rsidRPr="00223856">
        <w:rPr>
          <w:rFonts w:asciiTheme="majorHAnsi" w:hAnsiTheme="majorHAnsi"/>
        </w:rPr>
        <w:t>pay the cost of travel</w:t>
      </w:r>
      <w:r w:rsidRPr="00223856">
        <w:rPr>
          <w:rFonts w:asciiTheme="majorHAnsi" w:hAnsiTheme="majorHAnsi"/>
        </w:rPr>
        <w:t xml:space="preserve"> are more likely to access the </w:t>
      </w:r>
      <w:r w:rsidR="00F26F02" w:rsidRPr="00223856">
        <w:rPr>
          <w:rFonts w:asciiTheme="majorHAnsi" w:hAnsiTheme="majorHAnsi"/>
        </w:rPr>
        <w:t xml:space="preserve">remote </w:t>
      </w:r>
      <w:r w:rsidRPr="00223856">
        <w:rPr>
          <w:rFonts w:asciiTheme="majorHAnsi" w:hAnsiTheme="majorHAnsi"/>
        </w:rPr>
        <w:t>parks.</w:t>
      </w:r>
      <w:r w:rsidR="00CA517F" w:rsidRPr="00223856">
        <w:rPr>
          <w:rFonts w:asciiTheme="majorHAnsi" w:hAnsiTheme="majorHAnsi"/>
        </w:rPr>
        <w:t xml:space="preserve"> </w:t>
      </w:r>
      <w:r w:rsidR="00F26F02" w:rsidRPr="00223856">
        <w:rPr>
          <w:rFonts w:asciiTheme="majorHAnsi" w:hAnsiTheme="majorHAnsi"/>
        </w:rPr>
        <w:t>The Indiana Dunes National Park</w:t>
      </w:r>
      <w:r w:rsidR="00CA517F" w:rsidRPr="00223856">
        <w:rPr>
          <w:rFonts w:asciiTheme="majorHAnsi" w:hAnsiTheme="majorHAnsi"/>
        </w:rPr>
        <w:t xml:space="preserve"> is indeed open and free to all, but</w:t>
      </w:r>
      <w:r w:rsidR="00F26F02" w:rsidRPr="00223856">
        <w:rPr>
          <w:rFonts w:asciiTheme="majorHAnsi" w:hAnsiTheme="majorHAnsi"/>
        </w:rPr>
        <w:t xml:space="preserve"> a 45-minute drive from </w:t>
      </w:r>
      <w:proofErr w:type="gramStart"/>
      <w:r w:rsidR="00F26F02" w:rsidRPr="00223856">
        <w:rPr>
          <w:rFonts w:asciiTheme="majorHAnsi" w:hAnsiTheme="majorHAnsi"/>
        </w:rPr>
        <w:t>Chicago,</w:t>
      </w:r>
      <w:proofErr w:type="gramEnd"/>
      <w:r w:rsidR="00F26F02" w:rsidRPr="00223856">
        <w:rPr>
          <w:rFonts w:asciiTheme="majorHAnsi" w:hAnsiTheme="majorHAnsi"/>
        </w:rPr>
        <w:t xml:space="preserve"> it is largely inaccessible to most lower income</w:t>
      </w:r>
      <w:r w:rsidR="00EE6C43" w:rsidRPr="00223856">
        <w:rPr>
          <w:rFonts w:asciiTheme="majorHAnsi" w:hAnsiTheme="majorHAnsi"/>
        </w:rPr>
        <w:t xml:space="preserve"> </w:t>
      </w:r>
      <w:r w:rsidR="001C7390" w:rsidRPr="00223856">
        <w:rPr>
          <w:rFonts w:asciiTheme="majorHAnsi" w:hAnsiTheme="majorHAnsi"/>
        </w:rPr>
        <w:t>residents of the city</w:t>
      </w:r>
      <w:r w:rsidR="005A247A">
        <w:rPr>
          <w:rFonts w:asciiTheme="majorHAnsi" w:hAnsiTheme="majorHAnsi"/>
        </w:rPr>
        <w:t>’s south side</w:t>
      </w:r>
      <w:r w:rsidR="00EE6C43" w:rsidRPr="00223856">
        <w:rPr>
          <w:rFonts w:asciiTheme="majorHAnsi" w:hAnsiTheme="majorHAnsi"/>
        </w:rPr>
        <w:t xml:space="preserve">. </w:t>
      </w:r>
      <w:r w:rsidR="009C2FB8" w:rsidRPr="00223856">
        <w:rPr>
          <w:rFonts w:asciiTheme="majorHAnsi" w:hAnsiTheme="majorHAnsi"/>
        </w:rPr>
        <w:t>Access</w:t>
      </w:r>
      <w:r w:rsidR="00CA517F" w:rsidRPr="00223856">
        <w:rPr>
          <w:rFonts w:asciiTheme="majorHAnsi" w:hAnsiTheme="majorHAnsi"/>
        </w:rPr>
        <w:t xml:space="preserve"> is subject to </w:t>
      </w:r>
      <w:r w:rsidR="001C7390" w:rsidRPr="00223856">
        <w:rPr>
          <w:rFonts w:asciiTheme="majorHAnsi" w:hAnsiTheme="majorHAnsi"/>
        </w:rPr>
        <w:t>an implicit cost</w:t>
      </w:r>
      <w:r w:rsidR="009C2FB8" w:rsidRPr="00223856">
        <w:rPr>
          <w:rFonts w:asciiTheme="majorHAnsi" w:hAnsiTheme="majorHAnsi"/>
        </w:rPr>
        <w:t xml:space="preserve"> of </w:t>
      </w:r>
      <w:r w:rsidR="002E3604">
        <w:rPr>
          <w:rFonts w:asciiTheme="majorHAnsi" w:hAnsiTheme="majorHAnsi"/>
        </w:rPr>
        <w:t>approach</w:t>
      </w:r>
      <w:r w:rsidR="009C2FB8" w:rsidRPr="00223856">
        <w:rPr>
          <w:rFonts w:asciiTheme="majorHAnsi" w:hAnsiTheme="majorHAnsi"/>
        </w:rPr>
        <w:t>, or it</w:t>
      </w:r>
      <w:r w:rsidR="00CA517F" w:rsidRPr="00223856">
        <w:rPr>
          <w:rFonts w:asciiTheme="majorHAnsi" w:hAnsiTheme="majorHAnsi"/>
        </w:rPr>
        <w:t xml:space="preserve"> provides the types of benefits</w:t>
      </w:r>
      <w:r w:rsidR="009C2FB8" w:rsidRPr="00223856">
        <w:rPr>
          <w:rFonts w:asciiTheme="majorHAnsi" w:hAnsiTheme="majorHAnsi"/>
        </w:rPr>
        <w:t>,</w:t>
      </w:r>
      <w:r w:rsidR="00CA517F" w:rsidRPr="00223856">
        <w:rPr>
          <w:rFonts w:asciiTheme="majorHAnsi" w:hAnsiTheme="majorHAnsi"/>
        </w:rPr>
        <w:t xml:space="preserve"> that disproportionately</w:t>
      </w:r>
      <w:r w:rsidR="00EE6C43" w:rsidRPr="00223856">
        <w:rPr>
          <w:rFonts w:asciiTheme="majorHAnsi" w:hAnsiTheme="majorHAnsi"/>
        </w:rPr>
        <w:t xml:space="preserve"> filter out low-</w:t>
      </w:r>
      <w:r w:rsidR="001C7390" w:rsidRPr="00223856">
        <w:rPr>
          <w:rFonts w:asciiTheme="majorHAnsi" w:hAnsiTheme="majorHAnsi"/>
        </w:rPr>
        <w:t>income people and draw</w:t>
      </w:r>
      <w:r w:rsidR="00CA517F" w:rsidRPr="00223856">
        <w:rPr>
          <w:rFonts w:asciiTheme="majorHAnsi" w:hAnsiTheme="majorHAnsi"/>
        </w:rPr>
        <w:t xml:space="preserve"> the wealthy and the middle class.</w:t>
      </w:r>
      <w:r w:rsidR="001C7390" w:rsidRPr="00223856">
        <w:rPr>
          <w:rFonts w:asciiTheme="majorHAnsi" w:hAnsiTheme="majorHAnsi"/>
        </w:rPr>
        <w:t xml:space="preserve"> Public expenditures on maintaining this </w:t>
      </w:r>
      <w:r w:rsidR="002E3604">
        <w:rPr>
          <w:rFonts w:asciiTheme="majorHAnsi" w:hAnsiTheme="majorHAnsi"/>
        </w:rPr>
        <w:t>this type of free access</w:t>
      </w:r>
      <w:r w:rsidR="001C7390" w:rsidRPr="00223856">
        <w:rPr>
          <w:rFonts w:asciiTheme="majorHAnsi" w:hAnsiTheme="majorHAnsi"/>
        </w:rPr>
        <w:t xml:space="preserve"> are regressive.</w:t>
      </w:r>
    </w:p>
    <w:p w14:paraId="5E9D49F4" w14:textId="77777777" w:rsidR="00A7733C" w:rsidRPr="00223856" w:rsidRDefault="00A7733C">
      <w:pPr>
        <w:rPr>
          <w:rFonts w:asciiTheme="majorHAnsi" w:hAnsiTheme="majorHAnsi"/>
        </w:rPr>
      </w:pPr>
    </w:p>
    <w:p w14:paraId="532B0DC0" w14:textId="77777777" w:rsidR="00EB1582" w:rsidRPr="00223856" w:rsidRDefault="00EB1582" w:rsidP="002E3604">
      <w:pPr>
        <w:ind w:firstLine="720"/>
        <w:rPr>
          <w:rFonts w:asciiTheme="majorHAnsi" w:hAnsiTheme="majorHAnsi"/>
        </w:rPr>
      </w:pPr>
      <w:proofErr w:type="spellStart"/>
      <w:r w:rsidRPr="00223856">
        <w:rPr>
          <w:rFonts w:asciiTheme="majorHAnsi" w:hAnsiTheme="majorHAnsi"/>
        </w:rPr>
        <w:t>Regressivity</w:t>
      </w:r>
      <w:proofErr w:type="spellEnd"/>
      <w:r w:rsidRPr="00223856">
        <w:rPr>
          <w:rFonts w:asciiTheme="majorHAnsi" w:hAnsiTheme="majorHAnsi"/>
        </w:rPr>
        <w:t>, as used here (and in the public finance literature) has two facets. On the one hand, expenditures could be considered regressive whe</w:t>
      </w:r>
      <w:r w:rsidR="001C7390" w:rsidRPr="00223856">
        <w:rPr>
          <w:rFonts w:asciiTheme="majorHAnsi" w:hAnsiTheme="majorHAnsi"/>
        </w:rPr>
        <w:t>n</w:t>
      </w:r>
      <w:r w:rsidRPr="00223856">
        <w:rPr>
          <w:rFonts w:asciiTheme="majorHAnsi" w:hAnsiTheme="majorHAnsi"/>
        </w:rPr>
        <w:t xml:space="preserve">ever poorer populations utilize the goods that the expenditures finance </w:t>
      </w:r>
      <w:proofErr w:type="gramStart"/>
      <w:r w:rsidRPr="00223856">
        <w:rPr>
          <w:rFonts w:asciiTheme="majorHAnsi" w:hAnsiTheme="majorHAnsi"/>
        </w:rPr>
        <w:t>at a less than proportional rates</w:t>
      </w:r>
      <w:proofErr w:type="gramEnd"/>
      <w:r w:rsidRPr="00223856">
        <w:rPr>
          <w:rFonts w:asciiTheme="majorHAnsi" w:hAnsiTheme="majorHAnsi"/>
        </w:rPr>
        <w:t>.</w:t>
      </w:r>
      <w:r w:rsidRPr="00223856">
        <w:rPr>
          <w:rFonts w:asciiTheme="majorHAnsi" w:hAnsiTheme="majorHAnsi"/>
          <w:vertAlign w:val="superscript"/>
        </w:rPr>
        <w:footnoteReference w:id="13"/>
      </w:r>
      <w:r w:rsidRPr="00223856">
        <w:rPr>
          <w:rFonts w:asciiTheme="majorHAnsi" w:hAnsiTheme="majorHAnsi"/>
        </w:rPr>
        <w:t xml:space="preserve"> In this sense, lower rates of utilization indicate that supply-side subsidies are regressive even in societies where those subsidies are financed by progressive taxes. The assessment that expenditures are regressive is made on the basis of how the benefits are distributed. </w:t>
      </w:r>
    </w:p>
    <w:p w14:paraId="35BB5F1C" w14:textId="77777777" w:rsidR="00EB1582" w:rsidRPr="00223856" w:rsidRDefault="00EB1582">
      <w:pPr>
        <w:rPr>
          <w:rFonts w:asciiTheme="majorHAnsi" w:hAnsiTheme="majorHAnsi"/>
        </w:rPr>
      </w:pPr>
    </w:p>
    <w:p w14:paraId="703C7F46" w14:textId="77777777" w:rsidR="00EB1582" w:rsidRPr="00223856" w:rsidRDefault="00EB1582" w:rsidP="002E3604">
      <w:pPr>
        <w:ind w:firstLine="720"/>
        <w:rPr>
          <w:rFonts w:asciiTheme="majorHAnsi" w:hAnsiTheme="majorHAnsi"/>
        </w:rPr>
      </w:pPr>
      <w:r w:rsidRPr="00223856">
        <w:rPr>
          <w:rFonts w:asciiTheme="majorHAnsi" w:hAnsiTheme="majorHAnsi"/>
        </w:rPr>
        <w:t xml:space="preserve">On the other hand, </w:t>
      </w:r>
      <w:proofErr w:type="spellStart"/>
      <w:r w:rsidRPr="00223856">
        <w:rPr>
          <w:rFonts w:asciiTheme="majorHAnsi" w:hAnsiTheme="majorHAnsi"/>
        </w:rPr>
        <w:t>regressivity</w:t>
      </w:r>
      <w:proofErr w:type="spellEnd"/>
      <w:r w:rsidRPr="00223856">
        <w:rPr>
          <w:rFonts w:asciiTheme="majorHAnsi" w:hAnsiTheme="majorHAnsi"/>
        </w:rPr>
        <w:t xml:space="preserve"> could represent a stronger form of inequality—any time the public expenditures increase the overall inequality of income and welfare distribution.</w:t>
      </w:r>
      <w:r w:rsidRPr="00223856">
        <w:rPr>
          <w:rFonts w:asciiTheme="majorHAnsi" w:hAnsiTheme="majorHAnsi"/>
          <w:vertAlign w:val="superscript"/>
        </w:rPr>
        <w:footnoteReference w:id="14"/>
      </w:r>
      <w:r w:rsidRPr="00223856">
        <w:rPr>
          <w:rFonts w:asciiTheme="majorHAnsi" w:hAnsiTheme="majorHAnsi"/>
        </w:rPr>
        <w:t xml:space="preserve"> Here, the assessment that expenditures are regressive is made not only on the basis of how the benefits are distributed, but also on who pays for them. The poor pay for what the more affluent consume.</w:t>
      </w:r>
    </w:p>
    <w:p w14:paraId="5BEB92EB" w14:textId="77777777" w:rsidR="00EB1582" w:rsidRPr="00223856" w:rsidRDefault="00EB1582">
      <w:pPr>
        <w:rPr>
          <w:rFonts w:asciiTheme="majorHAnsi" w:hAnsiTheme="majorHAnsi"/>
        </w:rPr>
      </w:pPr>
    </w:p>
    <w:p w14:paraId="77703030" w14:textId="77777777" w:rsidR="00EB1582" w:rsidRPr="00223856" w:rsidRDefault="00EB1582" w:rsidP="002E3604">
      <w:pPr>
        <w:ind w:firstLine="720"/>
        <w:rPr>
          <w:rFonts w:asciiTheme="majorHAnsi" w:hAnsiTheme="majorHAnsi"/>
        </w:rPr>
      </w:pPr>
      <w:r w:rsidRPr="00223856">
        <w:rPr>
          <w:rFonts w:asciiTheme="majorHAnsi" w:hAnsiTheme="majorHAnsi"/>
        </w:rPr>
        <w:t>Transport</w:t>
      </w:r>
      <w:r w:rsidR="001C7390" w:rsidRPr="00223856">
        <w:rPr>
          <w:rFonts w:asciiTheme="majorHAnsi" w:hAnsiTheme="majorHAnsi"/>
        </w:rPr>
        <w:t>ation</w:t>
      </w:r>
      <w:r w:rsidRPr="00223856">
        <w:rPr>
          <w:rFonts w:asciiTheme="majorHAnsi" w:hAnsiTheme="majorHAnsi"/>
        </w:rPr>
        <w:t xml:space="preserve"> and roads, for example, are </w:t>
      </w:r>
      <w:r w:rsidR="002E3604">
        <w:rPr>
          <w:rFonts w:asciiTheme="majorHAnsi" w:hAnsiTheme="majorHAnsi"/>
        </w:rPr>
        <w:t>sometimes</w:t>
      </w:r>
      <w:r w:rsidR="001C7390" w:rsidRPr="00223856">
        <w:rPr>
          <w:rFonts w:asciiTheme="majorHAnsi" w:hAnsiTheme="majorHAnsi"/>
        </w:rPr>
        <w:t xml:space="preserve"> </w:t>
      </w:r>
      <w:r w:rsidRPr="00223856">
        <w:rPr>
          <w:rFonts w:asciiTheme="majorHAnsi" w:hAnsiTheme="majorHAnsi"/>
        </w:rPr>
        <w:t>regressive in the first sense. First, usage rates of open roads and public transportation may be naturally higher among middle-</w:t>
      </w:r>
      <w:r w:rsidR="002E3604">
        <w:rPr>
          <w:rFonts w:asciiTheme="majorHAnsi" w:hAnsiTheme="majorHAnsi"/>
        </w:rPr>
        <w:t xml:space="preserve"> and upper-</w:t>
      </w:r>
      <w:r w:rsidRPr="00223856">
        <w:rPr>
          <w:rFonts w:asciiTheme="majorHAnsi" w:hAnsiTheme="majorHAnsi"/>
        </w:rPr>
        <w:t>income users than poorer users.</w:t>
      </w:r>
      <w:r w:rsidRPr="00223856">
        <w:rPr>
          <w:rFonts w:asciiTheme="majorHAnsi" w:hAnsiTheme="majorHAnsi"/>
          <w:vertAlign w:val="superscript"/>
        </w:rPr>
        <w:footnoteReference w:id="15"/>
      </w:r>
      <w:r w:rsidRPr="00223856">
        <w:rPr>
          <w:rFonts w:asciiTheme="majorHAnsi" w:hAnsiTheme="majorHAnsi"/>
        </w:rPr>
        <w:t xml:space="preserve"> </w:t>
      </w:r>
      <w:r w:rsidR="00CD6E61" w:rsidRPr="00223856">
        <w:rPr>
          <w:rFonts w:asciiTheme="majorHAnsi" w:hAnsiTheme="majorHAnsi"/>
        </w:rPr>
        <w:t xml:space="preserve">The poor are less likely to drive cars and enjoy benefits from roads and highways. </w:t>
      </w:r>
      <w:r w:rsidR="00123F0E" w:rsidRPr="00223856">
        <w:rPr>
          <w:rFonts w:asciiTheme="majorHAnsi" w:hAnsiTheme="majorHAnsi"/>
        </w:rPr>
        <w:t>Many among the poor do not drive (due to disability or poverty), many who do drive do not commute (they are retired or disabled), and many who do commute work close to home</w:t>
      </w:r>
      <w:r w:rsidR="009B3D3E" w:rsidRPr="00223856">
        <w:rPr>
          <w:rFonts w:asciiTheme="majorHAnsi" w:hAnsiTheme="majorHAnsi"/>
        </w:rPr>
        <w:t xml:space="preserve">. </w:t>
      </w:r>
      <w:r w:rsidR="00CD6E61" w:rsidRPr="00223856">
        <w:rPr>
          <w:rFonts w:asciiTheme="majorHAnsi" w:hAnsiTheme="majorHAnsi"/>
        </w:rPr>
        <w:t>Even bus subsidies, i</w:t>
      </w:r>
      <w:r w:rsidRPr="00223856">
        <w:rPr>
          <w:rFonts w:asciiTheme="majorHAnsi" w:hAnsiTheme="majorHAnsi"/>
        </w:rPr>
        <w:t>t was documented</w:t>
      </w:r>
      <w:r w:rsidR="001C7390" w:rsidRPr="00223856">
        <w:rPr>
          <w:rFonts w:asciiTheme="majorHAnsi" w:hAnsiTheme="majorHAnsi"/>
        </w:rPr>
        <w:t xml:space="preserve"> in some places</w:t>
      </w:r>
      <w:r w:rsidRPr="00223856">
        <w:rPr>
          <w:rFonts w:asciiTheme="majorHAnsi" w:hAnsiTheme="majorHAnsi"/>
        </w:rPr>
        <w:t xml:space="preserve">, </w:t>
      </w:r>
      <w:r w:rsidR="001C7390" w:rsidRPr="00223856">
        <w:rPr>
          <w:rFonts w:asciiTheme="majorHAnsi" w:hAnsiTheme="majorHAnsi"/>
        </w:rPr>
        <w:t>may lead</w:t>
      </w:r>
      <w:r w:rsidRPr="00223856">
        <w:rPr>
          <w:rFonts w:asciiTheme="majorHAnsi" w:hAnsiTheme="majorHAnsi"/>
        </w:rPr>
        <w:t xml:space="preserve"> to an increase in relative use by middle-income passengers</w:t>
      </w:r>
      <w:r w:rsidR="00CD6E61" w:rsidRPr="00223856">
        <w:rPr>
          <w:rFonts w:asciiTheme="majorHAnsi" w:hAnsiTheme="majorHAnsi"/>
        </w:rPr>
        <w:t xml:space="preserve"> </w:t>
      </w:r>
      <w:r w:rsidR="001C7390" w:rsidRPr="00223856">
        <w:rPr>
          <w:rFonts w:asciiTheme="majorHAnsi" w:hAnsiTheme="majorHAnsi"/>
        </w:rPr>
        <w:t>(</w:t>
      </w:r>
      <w:r w:rsidR="00CD6E61" w:rsidRPr="00223856">
        <w:rPr>
          <w:rFonts w:asciiTheme="majorHAnsi" w:hAnsiTheme="majorHAnsi"/>
        </w:rPr>
        <w:t>although such policies can also have</w:t>
      </w:r>
      <w:r w:rsidR="001C7390" w:rsidRPr="00223856">
        <w:rPr>
          <w:rFonts w:asciiTheme="majorHAnsi" w:hAnsiTheme="majorHAnsi"/>
        </w:rPr>
        <w:t xml:space="preserve"> other</w:t>
      </w:r>
      <w:r w:rsidR="00CD6E61" w:rsidRPr="00223856">
        <w:rPr>
          <w:rFonts w:asciiTheme="majorHAnsi" w:hAnsiTheme="majorHAnsi"/>
        </w:rPr>
        <w:t xml:space="preserve"> progressive effects</w:t>
      </w:r>
      <w:r w:rsidR="001C7390" w:rsidRPr="00223856">
        <w:rPr>
          <w:rFonts w:asciiTheme="majorHAnsi" w:hAnsiTheme="majorHAnsi"/>
        </w:rPr>
        <w:t>)</w:t>
      </w:r>
      <w:r w:rsidRPr="00223856">
        <w:rPr>
          <w:rFonts w:asciiTheme="majorHAnsi" w:hAnsiTheme="majorHAnsi"/>
        </w:rPr>
        <w:t>.</w:t>
      </w:r>
      <w:r w:rsidRPr="00223856">
        <w:rPr>
          <w:rFonts w:asciiTheme="majorHAnsi" w:hAnsiTheme="majorHAnsi"/>
          <w:vertAlign w:val="superscript"/>
        </w:rPr>
        <w:footnoteReference w:id="16"/>
      </w:r>
      <w:r w:rsidRPr="00223856">
        <w:rPr>
          <w:rFonts w:asciiTheme="majorHAnsi" w:hAnsiTheme="majorHAnsi"/>
        </w:rPr>
        <w:t xml:space="preserve"> Second, it is usually difficult to </w:t>
      </w:r>
      <w:r w:rsidRPr="00223856">
        <w:rPr>
          <w:rFonts w:asciiTheme="majorHAnsi" w:hAnsiTheme="majorHAnsi"/>
          <w:i/>
        </w:rPr>
        <w:t>target</w:t>
      </w:r>
      <w:r w:rsidRPr="00223856">
        <w:rPr>
          <w:rFonts w:asciiTheme="majorHAnsi" w:hAnsiTheme="majorHAnsi"/>
        </w:rPr>
        <w:t xml:space="preserve"> the </w:t>
      </w:r>
      <w:r w:rsidR="002E3604">
        <w:rPr>
          <w:rFonts w:asciiTheme="majorHAnsi" w:hAnsiTheme="majorHAnsi"/>
        </w:rPr>
        <w:t xml:space="preserve">transportation </w:t>
      </w:r>
      <w:r w:rsidRPr="00223856">
        <w:rPr>
          <w:rFonts w:asciiTheme="majorHAnsi" w:hAnsiTheme="majorHAnsi"/>
        </w:rPr>
        <w:t>expenditures</w:t>
      </w:r>
      <w:r w:rsidR="002E3604">
        <w:rPr>
          <w:rFonts w:asciiTheme="majorHAnsi" w:hAnsiTheme="majorHAnsi"/>
        </w:rPr>
        <w:t xml:space="preserve"> towards</w:t>
      </w:r>
      <w:r w:rsidRPr="00223856">
        <w:rPr>
          <w:rFonts w:asciiTheme="majorHAnsi" w:hAnsiTheme="majorHAnsi"/>
        </w:rPr>
        <w:t xml:space="preserve"> poorer groups, unless projects are specifically aimed at improving the poor’s access to infrastructure (e.g. a new </w:t>
      </w:r>
      <w:r w:rsidR="00B04C0F" w:rsidRPr="00223856">
        <w:rPr>
          <w:rFonts w:asciiTheme="majorHAnsi" w:hAnsiTheme="majorHAnsi"/>
        </w:rPr>
        <w:t>Metro</w:t>
      </w:r>
      <w:r w:rsidRPr="00223856">
        <w:rPr>
          <w:rFonts w:asciiTheme="majorHAnsi" w:hAnsiTheme="majorHAnsi"/>
        </w:rPr>
        <w:t xml:space="preserve"> stop in a poor neighborhood).</w:t>
      </w:r>
      <w:r w:rsidR="00B04C0F" w:rsidRPr="00223856">
        <w:rPr>
          <w:rFonts w:asciiTheme="majorHAnsi" w:hAnsiTheme="majorHAnsi"/>
        </w:rPr>
        <w:t xml:space="preserve"> More generally</w:t>
      </w:r>
      <w:r w:rsidRPr="00223856">
        <w:rPr>
          <w:rFonts w:asciiTheme="majorHAnsi" w:hAnsiTheme="majorHAnsi"/>
        </w:rPr>
        <w:t>, a World Bank study of utilities subsidies—</w:t>
      </w:r>
      <w:r w:rsidR="00B04C0F" w:rsidRPr="00223856">
        <w:rPr>
          <w:rFonts w:asciiTheme="majorHAnsi" w:hAnsiTheme="majorHAnsi"/>
        </w:rPr>
        <w:t xml:space="preserve">the </w:t>
      </w:r>
      <w:r w:rsidRPr="00223856">
        <w:rPr>
          <w:rFonts w:asciiTheme="majorHAnsi" w:hAnsiTheme="majorHAnsi"/>
        </w:rPr>
        <w:t>paradigmatic quantity-based subsidies</w:t>
      </w:r>
      <w:r w:rsidR="00B04C0F" w:rsidRPr="00223856">
        <w:rPr>
          <w:rFonts w:asciiTheme="majorHAnsi" w:hAnsiTheme="majorHAnsi"/>
        </w:rPr>
        <w:t xml:space="preserve"> (ones that are proportional to th</w:t>
      </w:r>
      <w:r w:rsidR="001C7390" w:rsidRPr="00223856">
        <w:rPr>
          <w:rFonts w:asciiTheme="majorHAnsi" w:hAnsiTheme="majorHAnsi"/>
        </w:rPr>
        <w:t>e amount of the service consume</w:t>
      </w:r>
      <w:r w:rsidR="00B04C0F" w:rsidRPr="00223856">
        <w:rPr>
          <w:rFonts w:asciiTheme="majorHAnsi" w:hAnsiTheme="majorHAnsi"/>
        </w:rPr>
        <w:t>d)</w:t>
      </w:r>
      <w:r w:rsidRPr="00223856">
        <w:rPr>
          <w:rFonts w:asciiTheme="majorHAnsi" w:hAnsiTheme="majorHAnsi"/>
        </w:rPr>
        <w:t xml:space="preserve">—found that of the 25 subsidies considered, </w:t>
      </w:r>
      <w:r w:rsidRPr="00223856">
        <w:rPr>
          <w:rFonts w:asciiTheme="majorHAnsi" w:hAnsiTheme="majorHAnsi"/>
          <w:i/>
        </w:rPr>
        <w:t xml:space="preserve">none </w:t>
      </w:r>
      <w:r w:rsidRPr="00223856">
        <w:rPr>
          <w:rFonts w:asciiTheme="majorHAnsi" w:hAnsiTheme="majorHAnsi"/>
        </w:rPr>
        <w:t>were progressive.</w:t>
      </w:r>
      <w:r w:rsidR="00B04C0F" w:rsidRPr="00223856">
        <w:rPr>
          <w:rFonts w:asciiTheme="majorHAnsi" w:hAnsiTheme="majorHAnsi"/>
          <w:vertAlign w:val="superscript"/>
        </w:rPr>
        <w:footnoteReference w:id="17"/>
      </w:r>
      <w:r w:rsidRPr="00223856">
        <w:rPr>
          <w:rFonts w:asciiTheme="majorHAnsi" w:hAnsiTheme="majorHAnsi"/>
        </w:rPr>
        <w:t xml:space="preserve"> </w:t>
      </w:r>
      <w:r w:rsidR="001C7390" w:rsidRPr="00223856">
        <w:rPr>
          <w:rFonts w:asciiTheme="majorHAnsi" w:hAnsiTheme="majorHAnsi"/>
        </w:rPr>
        <w:t xml:space="preserve">Accordingly, </w:t>
      </w:r>
      <w:r w:rsidR="00CD6E61" w:rsidRPr="00223856">
        <w:rPr>
          <w:rFonts w:asciiTheme="majorHAnsi" w:hAnsiTheme="majorHAnsi"/>
        </w:rPr>
        <w:t xml:space="preserve">road and transport policies that eliminate the open access—for example, collection of tolls—are often </w:t>
      </w:r>
      <w:r w:rsidR="00123F0E" w:rsidRPr="00223856">
        <w:rPr>
          <w:rFonts w:asciiTheme="majorHAnsi" w:hAnsiTheme="majorHAnsi"/>
        </w:rPr>
        <w:t xml:space="preserve">found to be overall </w:t>
      </w:r>
      <w:r w:rsidR="00CD6E61" w:rsidRPr="00223856">
        <w:rPr>
          <w:rFonts w:asciiTheme="majorHAnsi" w:hAnsiTheme="majorHAnsi"/>
        </w:rPr>
        <w:t>progressive.</w:t>
      </w:r>
      <w:r w:rsidR="00CD6E61" w:rsidRPr="00223856">
        <w:rPr>
          <w:rFonts w:asciiTheme="majorHAnsi" w:hAnsiTheme="majorHAnsi"/>
          <w:vertAlign w:val="superscript"/>
        </w:rPr>
        <w:footnoteReference w:id="18"/>
      </w:r>
      <w:r w:rsidR="00CD6E61" w:rsidRPr="00223856">
        <w:rPr>
          <w:rFonts w:asciiTheme="majorHAnsi" w:hAnsiTheme="majorHAnsi"/>
        </w:rPr>
        <w:t xml:space="preserve"> </w:t>
      </w:r>
    </w:p>
    <w:p w14:paraId="25F59414" w14:textId="77777777" w:rsidR="00EB1582" w:rsidRPr="00223856" w:rsidRDefault="00EB1582" w:rsidP="00EB1582">
      <w:pPr>
        <w:rPr>
          <w:rFonts w:asciiTheme="majorHAnsi" w:hAnsiTheme="majorHAnsi"/>
        </w:rPr>
      </w:pPr>
    </w:p>
    <w:p w14:paraId="593E99CE" w14:textId="77777777" w:rsidR="00A7733C" w:rsidRPr="00223856" w:rsidRDefault="00123F0E" w:rsidP="002E3604">
      <w:pPr>
        <w:ind w:firstLine="720"/>
        <w:rPr>
          <w:rFonts w:asciiTheme="majorHAnsi" w:hAnsiTheme="majorHAnsi"/>
        </w:rPr>
      </w:pPr>
      <w:r w:rsidRPr="00223856">
        <w:rPr>
          <w:rFonts w:asciiTheme="majorHAnsi" w:hAnsiTheme="majorHAnsi"/>
        </w:rPr>
        <w:t>Further, i</w:t>
      </w:r>
      <w:r w:rsidR="00A7733C" w:rsidRPr="00223856">
        <w:rPr>
          <w:rFonts w:asciiTheme="majorHAnsi" w:hAnsiTheme="majorHAnsi"/>
        </w:rPr>
        <w:t xml:space="preserve">f </w:t>
      </w:r>
      <w:r w:rsidRPr="00223856">
        <w:rPr>
          <w:rFonts w:asciiTheme="majorHAnsi" w:hAnsiTheme="majorHAnsi"/>
        </w:rPr>
        <w:t xml:space="preserve">the costs </w:t>
      </w:r>
      <w:r w:rsidR="002E3604">
        <w:rPr>
          <w:rFonts w:asciiTheme="majorHAnsi" w:hAnsiTheme="majorHAnsi"/>
        </w:rPr>
        <w:t xml:space="preserve">of </w:t>
      </w:r>
      <w:r w:rsidR="00A7733C" w:rsidRPr="00223856">
        <w:rPr>
          <w:rFonts w:asciiTheme="majorHAnsi" w:hAnsiTheme="majorHAnsi"/>
        </w:rPr>
        <w:t xml:space="preserve">roads and </w:t>
      </w:r>
      <w:r w:rsidRPr="00223856">
        <w:rPr>
          <w:rFonts w:asciiTheme="majorHAnsi" w:hAnsiTheme="majorHAnsi"/>
        </w:rPr>
        <w:t>motorized transportations services</w:t>
      </w:r>
      <w:r w:rsidR="00A7733C" w:rsidRPr="00223856">
        <w:rPr>
          <w:rFonts w:asciiTheme="majorHAnsi" w:hAnsiTheme="majorHAnsi"/>
        </w:rPr>
        <w:t xml:space="preserve"> are </w:t>
      </w:r>
      <w:r w:rsidRPr="00223856">
        <w:rPr>
          <w:rFonts w:asciiTheme="majorHAnsi" w:hAnsiTheme="majorHAnsi"/>
        </w:rPr>
        <w:t>borne</w:t>
      </w:r>
      <w:r w:rsidR="00A7733C" w:rsidRPr="00223856">
        <w:rPr>
          <w:rFonts w:asciiTheme="majorHAnsi" w:hAnsiTheme="majorHAnsi"/>
        </w:rPr>
        <w:t xml:space="preserve"> by general taxes</w:t>
      </w:r>
      <w:r w:rsidRPr="00223856">
        <w:rPr>
          <w:rFonts w:asciiTheme="majorHAnsi" w:hAnsiTheme="majorHAnsi"/>
        </w:rPr>
        <w:t xml:space="preserve"> and impose externalities on all (pollution, congestion, injuries)</w:t>
      </w:r>
      <w:r w:rsidR="00A7733C" w:rsidRPr="00223856">
        <w:rPr>
          <w:rFonts w:asciiTheme="majorHAnsi" w:hAnsiTheme="majorHAnsi"/>
        </w:rPr>
        <w:t xml:space="preserve">, and if </w:t>
      </w:r>
      <w:r w:rsidR="001C7390" w:rsidRPr="00223856">
        <w:rPr>
          <w:rFonts w:asciiTheme="majorHAnsi" w:hAnsiTheme="majorHAnsi"/>
        </w:rPr>
        <w:t>middle income (and up) people not only use transportation more, but gain access through it to income producing opportunities</w:t>
      </w:r>
      <w:r w:rsidRPr="00223856">
        <w:rPr>
          <w:rFonts w:asciiTheme="majorHAnsi" w:hAnsiTheme="majorHAnsi"/>
        </w:rPr>
        <w:t>, then the open roads and transportation policy may be</w:t>
      </w:r>
      <w:r w:rsidR="00A7733C" w:rsidRPr="00223856">
        <w:rPr>
          <w:rFonts w:asciiTheme="majorHAnsi" w:hAnsiTheme="majorHAnsi"/>
        </w:rPr>
        <w:t xml:space="preserve"> regressive</w:t>
      </w:r>
      <w:r w:rsidRPr="00223856">
        <w:rPr>
          <w:rFonts w:asciiTheme="majorHAnsi" w:hAnsiTheme="majorHAnsi"/>
        </w:rPr>
        <w:t xml:space="preserve"> in the stronger sense, of increasing the overall degree of inequality</w:t>
      </w:r>
      <w:r w:rsidR="00A7733C" w:rsidRPr="00223856">
        <w:rPr>
          <w:rFonts w:asciiTheme="majorHAnsi" w:hAnsiTheme="majorHAnsi"/>
        </w:rPr>
        <w:t>.</w:t>
      </w:r>
      <w:r w:rsidR="00A7733C" w:rsidRPr="00093969">
        <w:rPr>
          <w:rStyle w:val="FootnoteReference"/>
        </w:rPr>
        <w:footnoteReference w:id="19"/>
      </w:r>
      <w:r w:rsidR="001C3959" w:rsidRPr="00223856">
        <w:rPr>
          <w:rFonts w:asciiTheme="majorHAnsi" w:hAnsiTheme="majorHAnsi"/>
        </w:rPr>
        <w:t xml:space="preserve"> </w:t>
      </w:r>
    </w:p>
    <w:p w14:paraId="519F6C2C" w14:textId="77777777" w:rsidR="00CA517F" w:rsidRPr="00223856" w:rsidRDefault="00CA517F">
      <w:pPr>
        <w:rPr>
          <w:rFonts w:asciiTheme="majorHAnsi" w:hAnsiTheme="majorHAnsi"/>
        </w:rPr>
      </w:pPr>
    </w:p>
    <w:p w14:paraId="6C05A2E2" w14:textId="77777777" w:rsidR="00662289" w:rsidRPr="00223856" w:rsidRDefault="00CA517F" w:rsidP="002E3604">
      <w:pPr>
        <w:ind w:firstLine="720"/>
        <w:rPr>
          <w:rFonts w:asciiTheme="majorHAnsi" w:hAnsiTheme="majorHAnsi"/>
        </w:rPr>
      </w:pPr>
      <w:r w:rsidRPr="00223856">
        <w:rPr>
          <w:rFonts w:asciiTheme="majorHAnsi" w:hAnsiTheme="majorHAnsi"/>
        </w:rPr>
        <w:lastRenderedPageBreak/>
        <w:t>Similarly, t</w:t>
      </w:r>
      <w:r w:rsidR="00F00B50" w:rsidRPr="00223856">
        <w:rPr>
          <w:rFonts w:asciiTheme="majorHAnsi" w:hAnsiTheme="majorHAnsi"/>
        </w:rPr>
        <w:t>o access a publi</w:t>
      </w:r>
      <w:r w:rsidR="009C52D5" w:rsidRPr="00223856">
        <w:rPr>
          <w:rFonts w:asciiTheme="majorHAnsi" w:hAnsiTheme="majorHAnsi"/>
        </w:rPr>
        <w:t>c library</w:t>
      </w:r>
      <w:r w:rsidR="00F00B50" w:rsidRPr="00223856">
        <w:rPr>
          <w:rFonts w:asciiTheme="majorHAnsi" w:hAnsiTheme="majorHAnsi"/>
        </w:rPr>
        <w:t xml:space="preserve"> and even more so a museum, people have to appreciate the fine arts or literature, </w:t>
      </w:r>
      <w:r w:rsidR="00991018" w:rsidRPr="00223856">
        <w:rPr>
          <w:rFonts w:asciiTheme="majorHAnsi" w:hAnsiTheme="majorHAnsi"/>
        </w:rPr>
        <w:t>a trait that</w:t>
      </w:r>
      <w:r w:rsidR="00337252" w:rsidRPr="00223856">
        <w:rPr>
          <w:rFonts w:asciiTheme="majorHAnsi" w:hAnsiTheme="majorHAnsi"/>
        </w:rPr>
        <w:t xml:space="preserve"> is correlated with</w:t>
      </w:r>
      <w:r w:rsidR="00146358">
        <w:rPr>
          <w:rFonts w:asciiTheme="majorHAnsi" w:hAnsiTheme="majorHAnsi"/>
        </w:rPr>
        <w:t xml:space="preserve"> income</w:t>
      </w:r>
      <w:r w:rsidR="00337252" w:rsidRPr="00223856">
        <w:rPr>
          <w:rFonts w:asciiTheme="majorHAnsi" w:hAnsiTheme="majorHAnsi"/>
        </w:rPr>
        <w:t>, and they have to be part of</w:t>
      </w:r>
      <w:r w:rsidR="00F00B50" w:rsidRPr="00223856">
        <w:rPr>
          <w:rFonts w:asciiTheme="majorHAnsi" w:hAnsiTheme="majorHAnsi"/>
        </w:rPr>
        <w:t xml:space="preserve"> social networks that reward </w:t>
      </w:r>
      <w:r w:rsidR="00337252" w:rsidRPr="00223856">
        <w:rPr>
          <w:rFonts w:asciiTheme="majorHAnsi" w:hAnsiTheme="majorHAnsi"/>
        </w:rPr>
        <w:t>fluency in literature and arts</w:t>
      </w:r>
      <w:r w:rsidR="00F00B50" w:rsidRPr="00223856">
        <w:rPr>
          <w:rFonts w:asciiTheme="majorHAnsi" w:hAnsiTheme="majorHAnsi"/>
        </w:rPr>
        <w:t xml:space="preserve">. </w:t>
      </w:r>
      <w:r w:rsidRPr="00223856">
        <w:rPr>
          <w:rFonts w:asciiTheme="majorHAnsi" w:hAnsiTheme="majorHAnsi"/>
        </w:rPr>
        <w:t>It is possible that some</w:t>
      </w:r>
      <w:r w:rsidR="0011224E" w:rsidRPr="00223856">
        <w:rPr>
          <w:rFonts w:asciiTheme="majorHAnsi" w:hAnsiTheme="majorHAnsi"/>
        </w:rPr>
        <w:t xml:space="preserve"> of the services offered freely by public libraries, </w:t>
      </w:r>
      <w:r w:rsidRPr="00223856">
        <w:rPr>
          <w:rFonts w:asciiTheme="majorHAnsi" w:hAnsiTheme="majorHAnsi"/>
        </w:rPr>
        <w:t>like free computer and i</w:t>
      </w:r>
      <w:r w:rsidR="0011224E" w:rsidRPr="00223856">
        <w:rPr>
          <w:rFonts w:asciiTheme="majorHAnsi" w:hAnsiTheme="majorHAnsi"/>
        </w:rPr>
        <w:t xml:space="preserve">nternet access to </w:t>
      </w:r>
      <w:r w:rsidR="00146358">
        <w:rPr>
          <w:rFonts w:asciiTheme="majorHAnsi" w:hAnsiTheme="majorHAnsi"/>
        </w:rPr>
        <w:t xml:space="preserve">local </w:t>
      </w:r>
      <w:r w:rsidR="0011224E" w:rsidRPr="00223856">
        <w:rPr>
          <w:rFonts w:asciiTheme="majorHAnsi" w:hAnsiTheme="majorHAnsi"/>
        </w:rPr>
        <w:t xml:space="preserve">residents, </w:t>
      </w:r>
      <w:r w:rsidRPr="00223856">
        <w:rPr>
          <w:rFonts w:asciiTheme="majorHAnsi" w:hAnsiTheme="majorHAnsi"/>
        </w:rPr>
        <w:t xml:space="preserve">are </w:t>
      </w:r>
      <w:r w:rsidR="0011224E" w:rsidRPr="00223856">
        <w:rPr>
          <w:rFonts w:asciiTheme="majorHAnsi" w:hAnsiTheme="majorHAnsi"/>
        </w:rPr>
        <w:t>progressive—b</w:t>
      </w:r>
      <w:r w:rsidRPr="00223856">
        <w:rPr>
          <w:rFonts w:asciiTheme="majorHAnsi" w:hAnsiTheme="majorHAnsi"/>
        </w:rPr>
        <w:t xml:space="preserve">enefitting low income people who do not have an internet connected computer at home. But </w:t>
      </w:r>
      <w:r w:rsidR="001C7390" w:rsidRPr="00223856">
        <w:rPr>
          <w:rFonts w:asciiTheme="majorHAnsi" w:hAnsiTheme="majorHAnsi"/>
        </w:rPr>
        <w:t>other services</w:t>
      </w:r>
      <w:r w:rsidR="00146358">
        <w:rPr>
          <w:rFonts w:asciiTheme="majorHAnsi" w:hAnsiTheme="majorHAnsi"/>
        </w:rPr>
        <w:t xml:space="preserve">, </w:t>
      </w:r>
      <w:r w:rsidR="001C7390" w:rsidRPr="00223856">
        <w:rPr>
          <w:rFonts w:asciiTheme="majorHAnsi" w:hAnsiTheme="majorHAnsi"/>
        </w:rPr>
        <w:t xml:space="preserve">for example, </w:t>
      </w:r>
      <w:r w:rsidRPr="00223856">
        <w:rPr>
          <w:rFonts w:asciiTheme="majorHAnsi" w:hAnsiTheme="majorHAnsi"/>
        </w:rPr>
        <w:t>the maintenance of expensive collections of works</w:t>
      </w:r>
      <w:r w:rsidR="00146358">
        <w:rPr>
          <w:rFonts w:asciiTheme="majorHAnsi" w:hAnsiTheme="majorHAnsi"/>
        </w:rPr>
        <w:t xml:space="preserve">, </w:t>
      </w:r>
      <w:r w:rsidR="00662289" w:rsidRPr="00223856">
        <w:rPr>
          <w:rFonts w:asciiTheme="majorHAnsi" w:hAnsiTheme="majorHAnsi"/>
        </w:rPr>
        <w:t>benefits more the elites.</w:t>
      </w:r>
      <w:r w:rsidR="005C62F1" w:rsidRPr="00093969">
        <w:rPr>
          <w:rStyle w:val="FootnoteReference"/>
        </w:rPr>
        <w:footnoteReference w:id="20"/>
      </w:r>
      <w:r w:rsidR="00662289" w:rsidRPr="00223856">
        <w:rPr>
          <w:rFonts w:asciiTheme="majorHAnsi" w:hAnsiTheme="majorHAnsi"/>
        </w:rPr>
        <w:t xml:space="preserve"> </w:t>
      </w:r>
      <w:r w:rsidR="00360CEF" w:rsidRPr="00223856">
        <w:rPr>
          <w:rFonts w:asciiTheme="majorHAnsi" w:hAnsiTheme="majorHAnsi"/>
        </w:rPr>
        <w:t xml:space="preserve">Since they are largely funded by </w:t>
      </w:r>
      <w:r w:rsidR="005C62F1" w:rsidRPr="00223856">
        <w:rPr>
          <w:rFonts w:asciiTheme="majorHAnsi" w:hAnsiTheme="majorHAnsi"/>
        </w:rPr>
        <w:t xml:space="preserve">wealthy </w:t>
      </w:r>
      <w:r w:rsidR="00360CEF" w:rsidRPr="00223856">
        <w:rPr>
          <w:rFonts w:asciiTheme="majorHAnsi" w:hAnsiTheme="majorHAnsi"/>
        </w:rPr>
        <w:t>philanthrop</w:t>
      </w:r>
      <w:r w:rsidR="005C62F1" w:rsidRPr="00223856">
        <w:rPr>
          <w:rFonts w:asciiTheme="majorHAnsi" w:hAnsiTheme="majorHAnsi"/>
        </w:rPr>
        <w:t>ist</w:t>
      </w:r>
      <w:r w:rsidR="001C7390" w:rsidRPr="00223856">
        <w:rPr>
          <w:rFonts w:asciiTheme="majorHAnsi" w:hAnsiTheme="majorHAnsi"/>
        </w:rPr>
        <w:t>s</w:t>
      </w:r>
      <w:r w:rsidR="00360CEF" w:rsidRPr="00223856">
        <w:rPr>
          <w:rFonts w:asciiTheme="majorHAnsi" w:hAnsiTheme="majorHAnsi"/>
        </w:rPr>
        <w:t xml:space="preserve">, </w:t>
      </w:r>
      <w:r w:rsidR="001C7390" w:rsidRPr="00223856">
        <w:rPr>
          <w:rFonts w:asciiTheme="majorHAnsi" w:hAnsiTheme="majorHAnsi"/>
        </w:rPr>
        <w:t>museums</w:t>
      </w:r>
      <w:r w:rsidR="005C62F1" w:rsidRPr="00223856">
        <w:rPr>
          <w:rFonts w:asciiTheme="majorHAnsi" w:hAnsiTheme="majorHAnsi"/>
        </w:rPr>
        <w:t xml:space="preserve"> </w:t>
      </w:r>
      <w:r w:rsidR="00360CEF" w:rsidRPr="00223856">
        <w:rPr>
          <w:rFonts w:asciiTheme="majorHAnsi" w:hAnsiTheme="majorHAnsi"/>
        </w:rPr>
        <w:t>are not necessarily regressive</w:t>
      </w:r>
      <w:r w:rsidR="001C7390" w:rsidRPr="00223856">
        <w:rPr>
          <w:rFonts w:asciiTheme="majorHAnsi" w:hAnsiTheme="majorHAnsi"/>
        </w:rPr>
        <w:t xml:space="preserve"> institutions</w:t>
      </w:r>
      <w:r w:rsidR="005C62F1" w:rsidRPr="00223856">
        <w:rPr>
          <w:rFonts w:asciiTheme="majorHAnsi" w:hAnsiTheme="majorHAnsi"/>
        </w:rPr>
        <w:t>. However,</w:t>
      </w:r>
      <w:r w:rsidR="00360CEF" w:rsidRPr="00223856">
        <w:rPr>
          <w:rFonts w:asciiTheme="majorHAnsi" w:hAnsiTheme="majorHAnsi"/>
        </w:rPr>
        <w:t xml:space="preserve"> tax credits for the philanthropic class are a form of public expenditure</w:t>
      </w:r>
      <w:r w:rsidR="005C62F1" w:rsidRPr="00223856">
        <w:rPr>
          <w:rFonts w:asciiTheme="majorHAnsi" w:hAnsiTheme="majorHAnsi"/>
        </w:rPr>
        <w:t>, constituting a transfer from the general budget that funds all programs to the budget of cultural institutions that cater largely to the moderately wealthy patrons.</w:t>
      </w:r>
      <w:r w:rsidR="005C62F1" w:rsidRPr="00093969">
        <w:rPr>
          <w:rStyle w:val="FootnoteReference"/>
        </w:rPr>
        <w:footnoteReference w:id="21"/>
      </w:r>
      <w:r w:rsidR="00360CEF" w:rsidRPr="00223856">
        <w:rPr>
          <w:rFonts w:asciiTheme="majorHAnsi" w:hAnsiTheme="majorHAnsi"/>
        </w:rPr>
        <w:t xml:space="preserve"> </w:t>
      </w:r>
    </w:p>
    <w:p w14:paraId="2F469C35" w14:textId="77777777" w:rsidR="0034233C" w:rsidRPr="00223856" w:rsidRDefault="0034233C" w:rsidP="0034233C">
      <w:pPr>
        <w:rPr>
          <w:rFonts w:asciiTheme="majorHAnsi" w:hAnsiTheme="majorHAnsi"/>
        </w:rPr>
      </w:pPr>
    </w:p>
    <w:p w14:paraId="42E36A81" w14:textId="77777777" w:rsidR="00DB14C1" w:rsidRPr="001A16A6" w:rsidRDefault="00310595" w:rsidP="009C2128">
      <w:pPr>
        <w:jc w:val="center"/>
        <w:rPr>
          <w:rFonts w:asciiTheme="majorHAnsi" w:hAnsiTheme="majorHAnsi"/>
          <w:b/>
        </w:rPr>
      </w:pPr>
      <w:r w:rsidRPr="001A16A6">
        <w:rPr>
          <w:rFonts w:asciiTheme="majorHAnsi" w:hAnsiTheme="majorHAnsi"/>
          <w:b/>
        </w:rPr>
        <w:t xml:space="preserve">III. </w:t>
      </w:r>
      <w:r w:rsidR="00662289" w:rsidRPr="001A16A6">
        <w:rPr>
          <w:rFonts w:asciiTheme="majorHAnsi" w:hAnsiTheme="majorHAnsi"/>
          <w:b/>
        </w:rPr>
        <w:t>Regressive Access</w:t>
      </w:r>
      <w:r w:rsidRPr="001A16A6">
        <w:rPr>
          <w:rFonts w:asciiTheme="majorHAnsi" w:hAnsiTheme="majorHAnsi"/>
          <w:b/>
        </w:rPr>
        <w:t xml:space="preserve"> Policies</w:t>
      </w:r>
    </w:p>
    <w:p w14:paraId="2979BB1E" w14:textId="77777777" w:rsidR="00DB14C1" w:rsidRPr="00223856" w:rsidRDefault="00DB14C1">
      <w:pPr>
        <w:rPr>
          <w:rFonts w:asciiTheme="majorHAnsi" w:hAnsiTheme="majorHAnsi"/>
        </w:rPr>
      </w:pPr>
    </w:p>
    <w:p w14:paraId="3E0C4916" w14:textId="77777777" w:rsidR="009C52D5" w:rsidRPr="00223856" w:rsidRDefault="009C52D5" w:rsidP="00C71923">
      <w:pPr>
        <w:ind w:firstLine="720"/>
        <w:rPr>
          <w:rFonts w:asciiTheme="majorHAnsi" w:hAnsiTheme="majorHAnsi"/>
        </w:rPr>
      </w:pPr>
      <w:r w:rsidRPr="00223856">
        <w:rPr>
          <w:rFonts w:asciiTheme="majorHAnsi" w:hAnsiTheme="majorHAnsi"/>
        </w:rPr>
        <w:t xml:space="preserve">We have seen that open access policies may or may not be progressive. Some benefit the poor, but others benefit the elites. </w:t>
      </w:r>
      <w:r w:rsidR="003B7668" w:rsidRPr="00223856">
        <w:rPr>
          <w:rFonts w:asciiTheme="majorHAnsi" w:hAnsiTheme="majorHAnsi"/>
        </w:rPr>
        <w:t>T</w:t>
      </w:r>
      <w:r w:rsidRPr="00223856">
        <w:rPr>
          <w:rFonts w:asciiTheme="majorHAnsi" w:hAnsiTheme="majorHAnsi"/>
        </w:rPr>
        <w:t xml:space="preserve">his section </w:t>
      </w:r>
      <w:r w:rsidR="003B7668" w:rsidRPr="00223856">
        <w:rPr>
          <w:rFonts w:asciiTheme="majorHAnsi" w:hAnsiTheme="majorHAnsi"/>
        </w:rPr>
        <w:t>examines</w:t>
      </w:r>
      <w:r w:rsidRPr="00223856">
        <w:rPr>
          <w:rFonts w:asciiTheme="majorHAnsi" w:hAnsiTheme="majorHAnsi"/>
        </w:rPr>
        <w:t xml:space="preserve"> a few examples of legal policies that have the unintended cross subsidy of the elite.</w:t>
      </w:r>
    </w:p>
    <w:p w14:paraId="785CAD00" w14:textId="77777777" w:rsidR="009C52D5" w:rsidRPr="00223856" w:rsidRDefault="009C52D5">
      <w:pPr>
        <w:rPr>
          <w:rFonts w:asciiTheme="majorHAnsi" w:hAnsiTheme="majorHAnsi"/>
        </w:rPr>
      </w:pPr>
    </w:p>
    <w:p w14:paraId="1665DB4E" w14:textId="77777777" w:rsidR="00770306" w:rsidRPr="00223856" w:rsidRDefault="00770306" w:rsidP="00770306">
      <w:pPr>
        <w:pStyle w:val="ListParagraph"/>
        <w:numPr>
          <w:ilvl w:val="0"/>
          <w:numId w:val="4"/>
        </w:numPr>
        <w:rPr>
          <w:rFonts w:asciiTheme="majorHAnsi" w:hAnsiTheme="majorHAnsi"/>
          <w:i/>
        </w:rPr>
      </w:pPr>
      <w:r w:rsidRPr="00223856">
        <w:rPr>
          <w:rFonts w:asciiTheme="majorHAnsi" w:hAnsiTheme="majorHAnsi"/>
          <w:i/>
        </w:rPr>
        <w:t>Products Liability</w:t>
      </w:r>
    </w:p>
    <w:p w14:paraId="5C9AEE04" w14:textId="77777777" w:rsidR="00770306" w:rsidRPr="00223856" w:rsidRDefault="00770306" w:rsidP="00770306">
      <w:pPr>
        <w:rPr>
          <w:rFonts w:asciiTheme="majorHAnsi" w:hAnsiTheme="majorHAnsi"/>
          <w:i/>
        </w:rPr>
      </w:pPr>
    </w:p>
    <w:p w14:paraId="3EA9EF83" w14:textId="77777777" w:rsidR="00C71923" w:rsidRDefault="00770306" w:rsidP="00C71923">
      <w:pPr>
        <w:ind w:firstLine="720"/>
        <w:rPr>
          <w:rFonts w:asciiTheme="majorHAnsi" w:hAnsiTheme="majorHAnsi"/>
        </w:rPr>
      </w:pPr>
      <w:r w:rsidRPr="00223856">
        <w:rPr>
          <w:rFonts w:asciiTheme="majorHAnsi" w:hAnsiTheme="majorHAnsi"/>
        </w:rPr>
        <w:t>Tort and products liability create regressive redistributive effects whereby poor consumers subsidize the insurance and compensation of wealthier consumers. In areas like automobile accidents and products liability, tort law embodies an insurance element, because the losses recovered by victims are spre</w:t>
      </w:r>
      <w:r w:rsidR="008208B7" w:rsidRPr="00223856">
        <w:rPr>
          <w:rFonts w:asciiTheme="majorHAnsi" w:hAnsiTheme="majorHAnsi"/>
        </w:rPr>
        <w:t>ad (through the price of produc</w:t>
      </w:r>
      <w:r w:rsidRPr="00223856">
        <w:rPr>
          <w:rFonts w:asciiTheme="majorHAnsi" w:hAnsiTheme="majorHAnsi"/>
        </w:rPr>
        <w:t xml:space="preserve">ts </w:t>
      </w:r>
      <w:r w:rsidR="008208B7" w:rsidRPr="00223856">
        <w:rPr>
          <w:rFonts w:asciiTheme="majorHAnsi" w:hAnsiTheme="majorHAnsi"/>
        </w:rPr>
        <w:t>or through mandatory</w:t>
      </w:r>
      <w:r w:rsidRPr="00223856">
        <w:rPr>
          <w:rFonts w:asciiTheme="majorHAnsi" w:hAnsiTheme="majorHAnsi"/>
        </w:rPr>
        <w:t xml:space="preserve"> insurance) to all consumers. </w:t>
      </w:r>
      <w:r w:rsidR="00B63035">
        <w:rPr>
          <w:rFonts w:asciiTheme="majorHAnsi" w:hAnsiTheme="majorHAnsi"/>
        </w:rPr>
        <w:t>T</w:t>
      </w:r>
      <w:r w:rsidRPr="00223856">
        <w:rPr>
          <w:rFonts w:asciiTheme="majorHAnsi" w:hAnsiTheme="majorHAnsi"/>
        </w:rPr>
        <w:t>his form of insurance creates perverse and regressive cross subsidies, as poor consumers unknowingly subsidize the insurance of wealthier consumers of the same mass-market product.</w:t>
      </w:r>
    </w:p>
    <w:p w14:paraId="18564930" w14:textId="77777777" w:rsidR="00C71923" w:rsidRDefault="00C71923" w:rsidP="00C71923">
      <w:pPr>
        <w:ind w:firstLine="720"/>
        <w:rPr>
          <w:rFonts w:asciiTheme="majorHAnsi" w:hAnsiTheme="majorHAnsi"/>
        </w:rPr>
      </w:pPr>
    </w:p>
    <w:p w14:paraId="41426CB0" w14:textId="77777777" w:rsidR="00B63035" w:rsidRDefault="00770306" w:rsidP="00B63035">
      <w:pPr>
        <w:ind w:firstLine="720"/>
        <w:rPr>
          <w:rFonts w:asciiTheme="majorHAnsi" w:hAnsiTheme="majorHAnsi"/>
        </w:rPr>
      </w:pPr>
      <w:r w:rsidRPr="00223856">
        <w:rPr>
          <w:rFonts w:asciiTheme="majorHAnsi" w:hAnsiTheme="majorHAnsi"/>
        </w:rPr>
        <w:t>Products liability, for example, is regarded widely as a method to accord all consumers equal protection and redress in using products. What is less often understood is that this equal-access-to-remedy policy has unintended distributive effects.</w:t>
      </w:r>
      <w:r w:rsidR="008208B7" w:rsidRPr="00223856">
        <w:rPr>
          <w:rFonts w:asciiTheme="majorHAnsi" w:hAnsiTheme="majorHAnsi"/>
          <w:vertAlign w:val="superscript"/>
        </w:rPr>
        <w:footnoteReference w:id="22"/>
      </w:r>
      <w:r w:rsidR="008208B7" w:rsidRPr="00223856">
        <w:rPr>
          <w:rFonts w:asciiTheme="majorHAnsi" w:hAnsiTheme="majorHAnsi"/>
        </w:rPr>
        <w:t xml:space="preserve"> </w:t>
      </w:r>
      <w:r w:rsidRPr="00223856">
        <w:rPr>
          <w:rFonts w:asciiTheme="majorHAnsi" w:hAnsiTheme="majorHAnsi"/>
        </w:rPr>
        <w:t xml:space="preserve">Since sellers lack the ability to discriminate ex-ante in price between different </w:t>
      </w:r>
      <w:r w:rsidRPr="00223856">
        <w:rPr>
          <w:rFonts w:asciiTheme="majorHAnsi" w:hAnsiTheme="majorHAnsi"/>
        </w:rPr>
        <w:lastRenderedPageBreak/>
        <w:t>groups of consumers according to characteristics such as wealth or propensity towards getting into accidents, all customers end up paying an equal implicit premium in the form of a higher product price. The products liability awards paid at the end of the day are, however, based on victim-specific characteristics. Accident-prone and high-loss consumers benefit at the expense of safe and low-loss consumers. Specifically, high-income consumers receive greater benefits, since the awards for damages in tort law are correlated with lost income.</w:t>
      </w:r>
      <w:r w:rsidRPr="00223856">
        <w:rPr>
          <w:rFonts w:asciiTheme="majorHAnsi" w:hAnsiTheme="majorHAnsi"/>
          <w:vertAlign w:val="superscript"/>
        </w:rPr>
        <w:footnoteReference w:id="23"/>
      </w:r>
      <w:r w:rsidRPr="00223856">
        <w:rPr>
          <w:rFonts w:asciiTheme="majorHAnsi" w:hAnsiTheme="majorHAnsi"/>
        </w:rPr>
        <w:t xml:space="preserve"> This cross subsidy in favor of the wealthier consumers is bolstered by the fact they are more likely to seek an attorney and to sue and to recover for their damages.</w:t>
      </w:r>
      <w:r w:rsidRPr="00223856">
        <w:rPr>
          <w:rFonts w:asciiTheme="majorHAnsi" w:hAnsiTheme="majorHAnsi"/>
          <w:vertAlign w:val="superscript"/>
        </w:rPr>
        <w:footnoteReference w:id="24"/>
      </w:r>
      <w:r w:rsidRPr="00223856">
        <w:rPr>
          <w:rFonts w:asciiTheme="majorHAnsi" w:hAnsiTheme="majorHAnsi"/>
        </w:rPr>
        <w:t xml:space="preserve"> </w:t>
      </w:r>
    </w:p>
    <w:p w14:paraId="2C5062E5" w14:textId="77777777" w:rsidR="00B63035" w:rsidRDefault="00B63035" w:rsidP="00B63035">
      <w:pPr>
        <w:ind w:firstLine="720"/>
        <w:rPr>
          <w:rFonts w:asciiTheme="majorHAnsi" w:hAnsiTheme="majorHAnsi"/>
        </w:rPr>
      </w:pPr>
    </w:p>
    <w:p w14:paraId="22EEC58F" w14:textId="77777777" w:rsidR="00770306" w:rsidRPr="00223856" w:rsidRDefault="00770306" w:rsidP="00B63035">
      <w:pPr>
        <w:ind w:firstLine="720"/>
        <w:rPr>
          <w:rFonts w:asciiTheme="majorHAnsi" w:hAnsiTheme="majorHAnsi"/>
        </w:rPr>
      </w:pPr>
      <w:r w:rsidRPr="00223856">
        <w:rPr>
          <w:rFonts w:asciiTheme="majorHAnsi" w:hAnsiTheme="majorHAnsi"/>
        </w:rPr>
        <w:t xml:space="preserve">Thus, in a system where liability is imposed on the sellers, </w:t>
      </w:r>
      <w:r w:rsidR="008208B7" w:rsidRPr="00223856">
        <w:rPr>
          <w:rFonts w:asciiTheme="majorHAnsi" w:hAnsiTheme="majorHAnsi"/>
        </w:rPr>
        <w:t>low-</w:t>
      </w:r>
      <w:r w:rsidRPr="00223856">
        <w:rPr>
          <w:rFonts w:asciiTheme="majorHAnsi" w:hAnsiTheme="majorHAnsi"/>
        </w:rPr>
        <w:t>income consum</w:t>
      </w:r>
      <w:r w:rsidR="008208B7" w:rsidRPr="00223856">
        <w:rPr>
          <w:rFonts w:asciiTheme="majorHAnsi" w:hAnsiTheme="majorHAnsi"/>
        </w:rPr>
        <w:t>ers subsidize the high-</w:t>
      </w:r>
      <w:r w:rsidRPr="00223856">
        <w:rPr>
          <w:rFonts w:asciiTheme="majorHAnsi" w:hAnsiTheme="majorHAnsi"/>
        </w:rPr>
        <w:t>income ones who buy the same product</w:t>
      </w:r>
      <w:r w:rsidR="008208B7" w:rsidRPr="00223856">
        <w:rPr>
          <w:rFonts w:asciiTheme="majorHAnsi" w:hAnsiTheme="majorHAnsi"/>
        </w:rPr>
        <w:t>, either by paying for an implicit compensation fund that benefits the high-income disproportionately, or by paying for safety improvements that reflect the safety preferences of the wealthy.</w:t>
      </w:r>
      <w:r w:rsidRPr="00223856">
        <w:rPr>
          <w:rFonts w:asciiTheme="majorHAnsi" w:hAnsiTheme="majorHAnsi"/>
        </w:rPr>
        <w:t xml:space="preserve"> Moreover, for some low income consumers the insurance premium included in the price of the product might become prohibitive and cause them to avoid purchasing the product. While they no longer cross-subsidize the wealthy, the adverse effect on these weaker, poorer, groups further undermines an even more important “equal access” policy—the equal access to markets. </w:t>
      </w:r>
    </w:p>
    <w:p w14:paraId="3D1DB4AC" w14:textId="77777777" w:rsidR="00770306" w:rsidRPr="00223856" w:rsidRDefault="00770306" w:rsidP="00770306">
      <w:pPr>
        <w:rPr>
          <w:rFonts w:asciiTheme="majorHAnsi" w:hAnsiTheme="majorHAnsi"/>
        </w:rPr>
      </w:pPr>
    </w:p>
    <w:p w14:paraId="37A90D64" w14:textId="77777777" w:rsidR="00770306" w:rsidRPr="00223856" w:rsidRDefault="00770306" w:rsidP="00770306">
      <w:pPr>
        <w:pStyle w:val="ListParagraph"/>
        <w:numPr>
          <w:ilvl w:val="0"/>
          <w:numId w:val="4"/>
        </w:numPr>
        <w:rPr>
          <w:rFonts w:asciiTheme="majorHAnsi" w:hAnsiTheme="majorHAnsi"/>
          <w:i/>
        </w:rPr>
      </w:pPr>
      <w:r w:rsidRPr="00223856">
        <w:rPr>
          <w:rFonts w:asciiTheme="majorHAnsi" w:hAnsiTheme="majorHAnsi"/>
          <w:i/>
        </w:rPr>
        <w:t>Mental Health Insurance</w:t>
      </w:r>
    </w:p>
    <w:p w14:paraId="6B73862C" w14:textId="77777777" w:rsidR="00770306" w:rsidRPr="00223856" w:rsidRDefault="00770306" w:rsidP="00770306">
      <w:pPr>
        <w:pStyle w:val="ListParagraph"/>
        <w:rPr>
          <w:rFonts w:asciiTheme="majorHAnsi" w:hAnsiTheme="majorHAnsi"/>
          <w:i/>
        </w:rPr>
      </w:pPr>
    </w:p>
    <w:p w14:paraId="49EF45D0" w14:textId="77777777" w:rsidR="005E3BAC" w:rsidRDefault="008208B7" w:rsidP="005E3BAC">
      <w:pPr>
        <w:ind w:firstLine="720"/>
        <w:rPr>
          <w:rFonts w:asciiTheme="majorHAnsi" w:hAnsiTheme="majorHAnsi"/>
        </w:rPr>
      </w:pPr>
      <w:r w:rsidRPr="00223856">
        <w:rPr>
          <w:rFonts w:asciiTheme="majorHAnsi" w:hAnsiTheme="majorHAnsi"/>
        </w:rPr>
        <w:t xml:space="preserve">The products liability example above illustrates a more general phenomenon of insurance: </w:t>
      </w:r>
      <w:r w:rsidR="00770306" w:rsidRPr="00223856">
        <w:rPr>
          <w:rFonts w:asciiTheme="majorHAnsi" w:hAnsiTheme="majorHAnsi"/>
        </w:rPr>
        <w:t xml:space="preserve">elites can </w:t>
      </w:r>
      <w:r w:rsidRPr="00223856">
        <w:rPr>
          <w:rFonts w:asciiTheme="majorHAnsi" w:hAnsiTheme="majorHAnsi"/>
        </w:rPr>
        <w:t xml:space="preserve">often </w:t>
      </w:r>
      <w:r w:rsidR="00770306" w:rsidRPr="00223856">
        <w:rPr>
          <w:rFonts w:asciiTheme="majorHAnsi" w:hAnsiTheme="majorHAnsi"/>
        </w:rPr>
        <w:t xml:space="preserve">take greater advantage of insurance benefits that are equally available to all. This effect has been </w:t>
      </w:r>
      <w:r w:rsidR="005E3BAC">
        <w:rPr>
          <w:rFonts w:asciiTheme="majorHAnsi" w:hAnsiTheme="majorHAnsi"/>
        </w:rPr>
        <w:t>suspected</w:t>
      </w:r>
      <w:r w:rsidRPr="00223856">
        <w:rPr>
          <w:rFonts w:asciiTheme="majorHAnsi" w:hAnsiTheme="majorHAnsi"/>
        </w:rPr>
        <w:t xml:space="preserve"> also</w:t>
      </w:r>
      <w:r w:rsidR="00770306" w:rsidRPr="00223856">
        <w:rPr>
          <w:rFonts w:asciiTheme="majorHAnsi" w:hAnsiTheme="majorHAnsi"/>
        </w:rPr>
        <w:t xml:space="preserve"> in the area of health insurance. For example, elites are less sensitive to copayments and thus can more easil</w:t>
      </w:r>
      <w:r w:rsidRPr="00223856">
        <w:rPr>
          <w:rFonts w:asciiTheme="majorHAnsi" w:hAnsiTheme="majorHAnsi"/>
        </w:rPr>
        <w:t>y access the treatment benefits</w:t>
      </w:r>
      <w:r w:rsidR="00770306" w:rsidRPr="00223856">
        <w:rPr>
          <w:rFonts w:asciiTheme="majorHAnsi" w:hAnsiTheme="majorHAnsi"/>
        </w:rPr>
        <w:t xml:space="preserve"> that </w:t>
      </w:r>
      <w:r w:rsidRPr="00223856">
        <w:rPr>
          <w:rFonts w:asciiTheme="majorHAnsi" w:hAnsiTheme="majorHAnsi"/>
        </w:rPr>
        <w:t xml:space="preserve">the </w:t>
      </w:r>
      <w:r w:rsidR="00770306" w:rsidRPr="00223856">
        <w:rPr>
          <w:rFonts w:asciiTheme="majorHAnsi" w:hAnsiTheme="majorHAnsi"/>
        </w:rPr>
        <w:t xml:space="preserve">poor are equally entitled to, but </w:t>
      </w:r>
      <w:r w:rsidR="005E3BAC">
        <w:rPr>
          <w:rFonts w:asciiTheme="majorHAnsi" w:hAnsiTheme="majorHAnsi"/>
        </w:rPr>
        <w:t>have more difficulty to trigger</w:t>
      </w:r>
      <w:r w:rsidR="00770306" w:rsidRPr="00223856">
        <w:rPr>
          <w:rFonts w:asciiTheme="majorHAnsi" w:hAnsiTheme="majorHAnsi"/>
        </w:rPr>
        <w:t>.</w:t>
      </w:r>
      <w:r w:rsidR="00770306" w:rsidRPr="00093969">
        <w:rPr>
          <w:rStyle w:val="FootnoteReference"/>
        </w:rPr>
        <w:footnoteReference w:id="25"/>
      </w:r>
      <w:r w:rsidR="00770306" w:rsidRPr="00223856">
        <w:rPr>
          <w:rFonts w:asciiTheme="majorHAnsi" w:hAnsiTheme="majorHAnsi"/>
        </w:rPr>
        <w:t xml:space="preserve"> As health plans and medical and insurance bureaucracies become more </w:t>
      </w:r>
      <w:r w:rsidR="00770306" w:rsidRPr="00223856">
        <w:rPr>
          <w:rFonts w:asciiTheme="majorHAnsi" w:hAnsiTheme="majorHAnsi"/>
        </w:rPr>
        <w:lastRenderedPageBreak/>
        <w:t>complex, it is the affluent elite that can better understand and utilize the benefits.</w:t>
      </w:r>
      <w:r w:rsidR="00770306" w:rsidRPr="00093969">
        <w:rPr>
          <w:rStyle w:val="FootnoteReference"/>
        </w:rPr>
        <w:footnoteReference w:id="26"/>
      </w:r>
      <w:r w:rsidR="00770306" w:rsidRPr="00223856">
        <w:rPr>
          <w:rFonts w:asciiTheme="majorHAnsi" w:hAnsiTheme="majorHAnsi"/>
        </w:rPr>
        <w:t xml:space="preserve"> The disproportionate rate of utilization of benefits can become regressive</w:t>
      </w:r>
      <w:r w:rsidRPr="00223856">
        <w:rPr>
          <w:rFonts w:asciiTheme="majorHAnsi" w:hAnsiTheme="majorHAnsi"/>
        </w:rPr>
        <w:t xml:space="preserve"> in the strong sense</w:t>
      </w:r>
      <w:r w:rsidR="00770306" w:rsidRPr="00223856">
        <w:rPr>
          <w:rFonts w:asciiTheme="majorHAnsi" w:hAnsiTheme="majorHAnsi"/>
        </w:rPr>
        <w:t xml:space="preserve"> if it outweighs the disproportionate premiums that the affluent pay.</w:t>
      </w:r>
    </w:p>
    <w:p w14:paraId="7B5611E7" w14:textId="77777777" w:rsidR="005E3BAC" w:rsidRDefault="005E3BAC" w:rsidP="005E3BAC">
      <w:pPr>
        <w:ind w:firstLine="720"/>
        <w:rPr>
          <w:rFonts w:asciiTheme="majorHAnsi" w:hAnsiTheme="majorHAnsi"/>
        </w:rPr>
      </w:pPr>
    </w:p>
    <w:p w14:paraId="2FF9C6DA" w14:textId="77777777" w:rsidR="005E3BAC" w:rsidRDefault="00770306" w:rsidP="005E3BAC">
      <w:pPr>
        <w:ind w:firstLine="720"/>
        <w:rPr>
          <w:rFonts w:asciiTheme="majorHAnsi" w:hAnsiTheme="majorHAnsi"/>
        </w:rPr>
      </w:pPr>
      <w:r w:rsidRPr="00223856">
        <w:rPr>
          <w:rFonts w:asciiTheme="majorHAnsi" w:hAnsiTheme="majorHAnsi"/>
        </w:rPr>
        <w:t>This regressive effect—a wealth transfer from those with less means to the more affluent—has been documented, for example, in the area of mental health. Barak Richman found that under health plans that provide equal mental health coverage benefits, whites and high-income individuals consume more services than nonwhites and low-income individuals.</w:t>
      </w:r>
      <w:r w:rsidRPr="00223856">
        <w:rPr>
          <w:rFonts w:asciiTheme="majorHAnsi" w:hAnsiTheme="majorHAnsi"/>
          <w:vertAlign w:val="superscript"/>
        </w:rPr>
        <w:footnoteReference w:id="27"/>
      </w:r>
      <w:r w:rsidRPr="00223856">
        <w:rPr>
          <w:rFonts w:asciiTheme="majorHAnsi" w:hAnsiTheme="majorHAnsi"/>
        </w:rPr>
        <w:t xml:space="preserve"> If mandatory health insurance premiums are withheld in equal amounts from all insured workers, this might create a regressive effect.</w:t>
      </w:r>
      <w:r w:rsidRPr="00223856">
        <w:rPr>
          <w:rFonts w:asciiTheme="majorHAnsi" w:hAnsiTheme="majorHAnsi"/>
          <w:vertAlign w:val="superscript"/>
        </w:rPr>
        <w:footnoteReference w:id="28"/>
      </w:r>
      <w:r w:rsidRPr="00223856">
        <w:rPr>
          <w:rFonts w:asciiTheme="majorHAnsi" w:hAnsiTheme="majorHAnsi"/>
        </w:rPr>
        <w:t xml:space="preserve"> </w:t>
      </w:r>
    </w:p>
    <w:p w14:paraId="1C4E5D75" w14:textId="77777777" w:rsidR="005E3BAC" w:rsidRDefault="005E3BAC" w:rsidP="005E3BAC">
      <w:pPr>
        <w:ind w:firstLine="720"/>
        <w:rPr>
          <w:rFonts w:asciiTheme="majorHAnsi" w:hAnsiTheme="majorHAnsi"/>
        </w:rPr>
      </w:pPr>
    </w:p>
    <w:p w14:paraId="05641731" w14:textId="77777777" w:rsidR="005E3BAC" w:rsidRDefault="00770306" w:rsidP="005E3BAC">
      <w:pPr>
        <w:ind w:firstLine="720"/>
        <w:rPr>
          <w:rFonts w:asciiTheme="majorHAnsi" w:hAnsiTheme="majorHAnsi"/>
        </w:rPr>
      </w:pPr>
      <w:r w:rsidRPr="00223856">
        <w:rPr>
          <w:rFonts w:asciiTheme="majorHAnsi" w:hAnsiTheme="majorHAnsi"/>
        </w:rPr>
        <w:t>In a further study, Richman et al. demonstrate that the greater use of mental health treatments among whites and high-income patients is not explained by greater incidence of mental illness.</w:t>
      </w:r>
      <w:r w:rsidRPr="00223856">
        <w:rPr>
          <w:rFonts w:asciiTheme="majorHAnsi" w:hAnsiTheme="majorHAnsi"/>
          <w:vertAlign w:val="superscript"/>
        </w:rPr>
        <w:footnoteReference w:id="29"/>
      </w:r>
      <w:r w:rsidRPr="00223856">
        <w:rPr>
          <w:rFonts w:asciiTheme="majorHAnsi" w:hAnsiTheme="majorHAnsi"/>
        </w:rPr>
        <w:t xml:space="preserve"> Nonwhites and low-income individuals simply do not take advantage of their mental health benefits at the same rates as their white and more affluent coworkers, and to the degree that they seek care for mental illnesses, they are more likely to turn to general practitioners rather than to mental health professionals. Differences in mental health services consumption patterns were also evident across race</w:t>
      </w:r>
      <w:r w:rsidR="00D66CF0" w:rsidRPr="00223856">
        <w:rPr>
          <w:rFonts w:asciiTheme="majorHAnsi" w:hAnsiTheme="majorHAnsi"/>
        </w:rPr>
        <w:t>.</w:t>
      </w:r>
      <w:r w:rsidRPr="00223856">
        <w:rPr>
          <w:rFonts w:asciiTheme="majorHAnsi" w:hAnsiTheme="majorHAnsi"/>
        </w:rPr>
        <w:t xml:space="preserve"> For example, it was found that whites take advantage of outpatient mental health benefits four times more often than blacks. </w:t>
      </w:r>
      <w:r w:rsidR="00D66CF0" w:rsidRPr="00223856">
        <w:rPr>
          <w:rFonts w:asciiTheme="majorHAnsi" w:hAnsiTheme="majorHAnsi"/>
        </w:rPr>
        <w:t>Strikingly</w:t>
      </w:r>
      <w:r w:rsidRPr="00223856">
        <w:rPr>
          <w:rFonts w:asciiTheme="majorHAnsi" w:hAnsiTheme="majorHAnsi"/>
        </w:rPr>
        <w:t>, there is no significant evidence that higher incidence of outpatient mental healthcare reduces the likelihood of adverse mental health (measured by the probability of hospitalization for mental illness).</w:t>
      </w:r>
    </w:p>
    <w:p w14:paraId="6BDA636D" w14:textId="77777777" w:rsidR="005E3BAC" w:rsidRDefault="005E3BAC" w:rsidP="005E3BAC">
      <w:pPr>
        <w:ind w:firstLine="720"/>
        <w:rPr>
          <w:rFonts w:asciiTheme="majorHAnsi" w:hAnsiTheme="majorHAnsi"/>
        </w:rPr>
      </w:pPr>
    </w:p>
    <w:p w14:paraId="34254861" w14:textId="77777777" w:rsidR="00770306" w:rsidRPr="00223856" w:rsidRDefault="00770306" w:rsidP="005E3BAC">
      <w:pPr>
        <w:ind w:firstLine="720"/>
        <w:rPr>
          <w:rFonts w:asciiTheme="majorHAnsi" w:hAnsiTheme="majorHAnsi"/>
        </w:rPr>
      </w:pPr>
      <w:r w:rsidRPr="00223856">
        <w:rPr>
          <w:rFonts w:asciiTheme="majorHAnsi" w:hAnsiTheme="majorHAnsi"/>
        </w:rPr>
        <w:t xml:space="preserve">If these studies are right – if mental health insurance mandates like the one being instituted under the Patient Protection and Affordable Care Act benefit the elites more – they constitute transfers from nonwhites to whites and from low-income to high-income workers. They are available to all, </w:t>
      </w:r>
      <w:r w:rsidR="00D66CF0" w:rsidRPr="00223856">
        <w:rPr>
          <w:rFonts w:asciiTheme="majorHAnsi" w:hAnsiTheme="majorHAnsi"/>
        </w:rPr>
        <w:t xml:space="preserve">and they are commonly supported by the rhetoric of access </w:t>
      </w:r>
      <w:r w:rsidR="005E3BAC">
        <w:rPr>
          <w:rFonts w:asciiTheme="majorHAnsi" w:hAnsiTheme="majorHAnsi"/>
        </w:rPr>
        <w:t>for</w:t>
      </w:r>
      <w:r w:rsidR="00D66CF0" w:rsidRPr="00223856">
        <w:rPr>
          <w:rFonts w:asciiTheme="majorHAnsi" w:hAnsiTheme="majorHAnsi"/>
        </w:rPr>
        <w:t xml:space="preserve"> the weaker, otherwise uninsured, groups. But, as insurance goes,</w:t>
      </w:r>
      <w:r w:rsidRPr="00223856">
        <w:rPr>
          <w:rFonts w:asciiTheme="majorHAnsi" w:hAnsiTheme="majorHAnsi"/>
        </w:rPr>
        <w:t xml:space="preserve"> all pay for them through higher premiums, </w:t>
      </w:r>
      <w:r w:rsidR="00D66CF0" w:rsidRPr="00223856">
        <w:rPr>
          <w:rFonts w:asciiTheme="majorHAnsi" w:hAnsiTheme="majorHAnsi"/>
        </w:rPr>
        <w:t>and—regressively—e</w:t>
      </w:r>
      <w:r w:rsidRPr="00223856">
        <w:rPr>
          <w:rFonts w:asciiTheme="majorHAnsi" w:hAnsiTheme="majorHAnsi"/>
        </w:rPr>
        <w:t>lites enjoy them far more often.</w:t>
      </w:r>
    </w:p>
    <w:p w14:paraId="15568DC7" w14:textId="77777777" w:rsidR="00770306" w:rsidRPr="00223856" w:rsidRDefault="00770306" w:rsidP="00770306">
      <w:pPr>
        <w:rPr>
          <w:rFonts w:asciiTheme="majorHAnsi" w:hAnsiTheme="majorHAnsi"/>
        </w:rPr>
      </w:pPr>
    </w:p>
    <w:p w14:paraId="3489CB48" w14:textId="77777777" w:rsidR="00770306" w:rsidRPr="00223856" w:rsidRDefault="00770306" w:rsidP="00770306">
      <w:pPr>
        <w:pStyle w:val="ListParagraph"/>
        <w:numPr>
          <w:ilvl w:val="0"/>
          <w:numId w:val="4"/>
        </w:numPr>
        <w:rPr>
          <w:rFonts w:asciiTheme="majorHAnsi" w:hAnsiTheme="majorHAnsi"/>
          <w:i/>
        </w:rPr>
      </w:pPr>
      <w:r w:rsidRPr="00223856">
        <w:rPr>
          <w:rFonts w:asciiTheme="majorHAnsi" w:hAnsiTheme="majorHAnsi"/>
          <w:i/>
        </w:rPr>
        <w:t>Mandated Disclosure</w:t>
      </w:r>
    </w:p>
    <w:p w14:paraId="254867A5" w14:textId="77777777" w:rsidR="00770306" w:rsidRPr="00223856" w:rsidRDefault="00770306" w:rsidP="00770306">
      <w:pPr>
        <w:pStyle w:val="ListParagraph"/>
        <w:rPr>
          <w:rFonts w:asciiTheme="majorHAnsi" w:hAnsiTheme="majorHAnsi"/>
          <w:i/>
        </w:rPr>
      </w:pPr>
    </w:p>
    <w:p w14:paraId="65BCDA4A" w14:textId="77777777" w:rsidR="005E3BAC" w:rsidRDefault="00770306" w:rsidP="005E3BAC">
      <w:pPr>
        <w:ind w:firstLine="720"/>
        <w:rPr>
          <w:rFonts w:asciiTheme="majorHAnsi" w:hAnsiTheme="majorHAnsi"/>
        </w:rPr>
      </w:pPr>
      <w:r w:rsidRPr="00223856">
        <w:rPr>
          <w:rFonts w:asciiTheme="majorHAnsi" w:hAnsiTheme="majorHAnsi"/>
        </w:rPr>
        <w:lastRenderedPageBreak/>
        <w:t xml:space="preserve">Mandated disclosure is another equal access policy. It distributes information to all, in equal portions. But free access to information and disclosure does not mean equal utilization of it. The information has to be noticed, read, understood, processed and then used in a way that improves decisions and outcomes. In each one of these steps, the poor and poorly educated benefit less than the wealthy and the better off. </w:t>
      </w:r>
    </w:p>
    <w:p w14:paraId="190F2F50" w14:textId="77777777" w:rsidR="005E3BAC" w:rsidRDefault="005E3BAC" w:rsidP="005E3BAC">
      <w:pPr>
        <w:ind w:firstLine="720"/>
        <w:rPr>
          <w:rFonts w:asciiTheme="majorHAnsi" w:hAnsiTheme="majorHAnsi"/>
        </w:rPr>
      </w:pPr>
    </w:p>
    <w:p w14:paraId="7696CF26" w14:textId="77777777" w:rsidR="00E47488" w:rsidRDefault="00770306" w:rsidP="00E47488">
      <w:pPr>
        <w:ind w:firstLine="720"/>
        <w:rPr>
          <w:rFonts w:asciiTheme="majorHAnsi" w:hAnsiTheme="majorHAnsi"/>
        </w:rPr>
      </w:pPr>
      <w:r w:rsidRPr="00223856">
        <w:rPr>
          <w:rFonts w:asciiTheme="majorHAnsi" w:hAnsiTheme="majorHAnsi"/>
          <w:lang w:val="en-CA"/>
        </w:rPr>
        <w:t>Medical informed c</w:t>
      </w:r>
      <w:r w:rsidRPr="00223856">
        <w:rPr>
          <w:rFonts w:asciiTheme="majorHAnsi" w:hAnsiTheme="majorHAnsi"/>
          <w:lang w:val="en-CA"/>
        </w:rPr>
        <w:fldChar w:fldCharType="begin"/>
      </w:r>
      <w:r w:rsidRPr="00223856">
        <w:rPr>
          <w:rFonts w:asciiTheme="majorHAnsi" w:hAnsiTheme="majorHAnsi"/>
          <w:lang w:val="en-CA"/>
        </w:rPr>
        <w:instrText xml:space="preserve"> SEQ CHAPTER \h \r 1</w:instrText>
      </w:r>
      <w:r w:rsidRPr="00223856">
        <w:rPr>
          <w:rFonts w:asciiTheme="majorHAnsi" w:hAnsiTheme="majorHAnsi"/>
        </w:rPr>
        <w:fldChar w:fldCharType="end"/>
      </w:r>
      <w:proofErr w:type="spellStart"/>
      <w:r w:rsidRPr="00223856">
        <w:rPr>
          <w:rFonts w:asciiTheme="majorHAnsi" w:hAnsiTheme="majorHAnsi"/>
        </w:rPr>
        <w:t>onsent</w:t>
      </w:r>
      <w:proofErr w:type="spellEnd"/>
      <w:r w:rsidRPr="00223856">
        <w:rPr>
          <w:rFonts w:asciiTheme="majorHAnsi" w:hAnsiTheme="majorHAnsi"/>
        </w:rPr>
        <w:t xml:space="preserve"> forms—one of the crown jewel of the mandatory disclosure paradigm—are so long and complex, mostly written at </w:t>
      </w:r>
      <w:proofErr w:type="gramStart"/>
      <w:r w:rsidRPr="00223856">
        <w:rPr>
          <w:rFonts w:asciiTheme="majorHAnsi" w:hAnsiTheme="majorHAnsi"/>
        </w:rPr>
        <w:t>a literacy</w:t>
      </w:r>
      <w:proofErr w:type="gramEnd"/>
      <w:r w:rsidRPr="00223856">
        <w:rPr>
          <w:rFonts w:asciiTheme="majorHAnsi" w:hAnsiTheme="majorHAnsi"/>
        </w:rPr>
        <w:t xml:space="preserve"> level exceeding that of poor and unsophisticated patients.</w:t>
      </w:r>
      <w:r w:rsidRPr="00223856">
        <w:rPr>
          <w:rFonts w:asciiTheme="majorHAnsi" w:hAnsiTheme="majorHAnsi"/>
          <w:vertAlign w:val="superscript"/>
        </w:rPr>
        <w:footnoteReference w:id="30"/>
      </w:r>
      <w:r w:rsidRPr="00223856">
        <w:rPr>
          <w:rFonts w:asciiTheme="majorHAnsi" w:hAnsiTheme="majorHAnsi"/>
        </w:rPr>
        <w:t xml:space="preserve"> Similarly, consumer financial disclosures require some financial education and savvy to be useful. Better educated (and we</w:t>
      </w:r>
      <w:r w:rsidR="00905554" w:rsidRPr="00223856">
        <w:rPr>
          <w:rFonts w:asciiTheme="majorHAnsi" w:hAnsiTheme="majorHAnsi"/>
        </w:rPr>
        <w:t>althier) consu</w:t>
      </w:r>
      <w:r w:rsidRPr="00223856">
        <w:rPr>
          <w:rFonts w:asciiTheme="majorHAnsi" w:hAnsiTheme="majorHAnsi"/>
        </w:rPr>
        <w:t>m</w:t>
      </w:r>
      <w:r w:rsidR="00905554" w:rsidRPr="00223856">
        <w:rPr>
          <w:rFonts w:asciiTheme="majorHAnsi" w:hAnsiTheme="majorHAnsi"/>
        </w:rPr>
        <w:t>e</w:t>
      </w:r>
      <w:r w:rsidRPr="00223856">
        <w:rPr>
          <w:rFonts w:asciiTheme="majorHAnsi" w:hAnsiTheme="majorHAnsi"/>
        </w:rPr>
        <w:t>rs know better how to search for information, understand it, ask questions about it, comparison-shop, and receive better advise with it.</w:t>
      </w:r>
      <w:r w:rsidRPr="00223856">
        <w:rPr>
          <w:rFonts w:asciiTheme="majorHAnsi" w:hAnsiTheme="majorHAnsi"/>
          <w:vertAlign w:val="superscript"/>
        </w:rPr>
        <w:footnoteReference w:id="31"/>
      </w:r>
      <w:r w:rsidRPr="00223856">
        <w:rPr>
          <w:rFonts w:asciiTheme="majorHAnsi" w:hAnsiTheme="majorHAnsi"/>
        </w:rPr>
        <w:t xml:space="preserve">  They are likelier to have baseline education and experience with which to interpret information. Even simple information disclosed in the sale of used cars—the car’s safety and repair history, odometer readings, and warranties—seem not to help the poor, who continue to pay more for worse quality cars.  </w:t>
      </w:r>
      <w:r w:rsidR="00D66CF0" w:rsidRPr="00223856">
        <w:rPr>
          <w:rFonts w:asciiTheme="majorHAnsi" w:hAnsiTheme="majorHAnsi"/>
        </w:rPr>
        <w:t>In an unintended way,</w:t>
      </w:r>
      <w:r w:rsidR="00E47488">
        <w:rPr>
          <w:rFonts w:asciiTheme="majorHAnsi" w:hAnsiTheme="majorHAnsi"/>
        </w:rPr>
        <w:t xml:space="preserve"> but not surprising,</w:t>
      </w:r>
      <w:r w:rsidRPr="00223856">
        <w:rPr>
          <w:rFonts w:asciiTheme="majorHAnsi" w:hAnsiTheme="majorHAnsi"/>
        </w:rPr>
        <w:t xml:space="preserve"> mandated disclosure solutions may have even </w:t>
      </w:r>
      <w:r w:rsidR="00E47488">
        <w:rPr>
          <w:rFonts w:asciiTheme="majorHAnsi" w:hAnsiTheme="majorHAnsi"/>
        </w:rPr>
        <w:t>failed to improve</w:t>
      </w:r>
      <w:r w:rsidRPr="00223856">
        <w:rPr>
          <w:rFonts w:asciiTheme="majorHAnsi" w:hAnsiTheme="majorHAnsi"/>
        </w:rPr>
        <w:t xml:space="preserve"> the relative situation of the poor.</w:t>
      </w:r>
      <w:r w:rsidRPr="00223856">
        <w:rPr>
          <w:rFonts w:asciiTheme="majorHAnsi" w:hAnsiTheme="majorHAnsi"/>
          <w:vertAlign w:val="superscript"/>
        </w:rPr>
        <w:footnoteReference w:id="32"/>
      </w:r>
      <w:r w:rsidRPr="00223856">
        <w:rPr>
          <w:rFonts w:asciiTheme="majorHAnsi" w:hAnsiTheme="majorHAnsi"/>
        </w:rPr>
        <w:t xml:space="preserve"> </w:t>
      </w:r>
    </w:p>
    <w:p w14:paraId="1295E2C3" w14:textId="77777777" w:rsidR="00E47488" w:rsidRDefault="00E47488" w:rsidP="00E47488">
      <w:pPr>
        <w:ind w:firstLine="720"/>
        <w:rPr>
          <w:rFonts w:asciiTheme="majorHAnsi" w:hAnsiTheme="majorHAnsi"/>
        </w:rPr>
      </w:pPr>
    </w:p>
    <w:p w14:paraId="1B29135B" w14:textId="77777777" w:rsidR="00E47488" w:rsidRDefault="00770306" w:rsidP="00E47488">
      <w:pPr>
        <w:ind w:firstLine="720"/>
        <w:rPr>
          <w:rFonts w:asciiTheme="majorHAnsi" w:hAnsiTheme="majorHAnsi"/>
        </w:rPr>
      </w:pPr>
      <w:r w:rsidRPr="00223856">
        <w:rPr>
          <w:rFonts w:asciiTheme="majorHAnsi" w:hAnsiTheme="majorHAnsi"/>
        </w:rPr>
        <w:t>But mandated disclosu</w:t>
      </w:r>
      <w:r w:rsidR="00E47488">
        <w:rPr>
          <w:rFonts w:asciiTheme="majorHAnsi" w:hAnsiTheme="majorHAnsi"/>
        </w:rPr>
        <w:t xml:space="preserve">res not only benefit the better </w:t>
      </w:r>
      <w:r w:rsidRPr="00223856">
        <w:rPr>
          <w:rFonts w:asciiTheme="majorHAnsi" w:hAnsiTheme="majorHAnsi"/>
        </w:rPr>
        <w:t>off, they can hurt the worse</w:t>
      </w:r>
      <w:r w:rsidR="00E47488">
        <w:rPr>
          <w:rFonts w:asciiTheme="majorHAnsi" w:hAnsiTheme="majorHAnsi"/>
        </w:rPr>
        <w:t xml:space="preserve"> </w:t>
      </w:r>
      <w:r w:rsidRPr="00223856">
        <w:rPr>
          <w:rFonts w:asciiTheme="majorHAnsi" w:hAnsiTheme="majorHAnsi"/>
        </w:rPr>
        <w:t xml:space="preserve">off.  If the </w:t>
      </w:r>
      <w:r w:rsidR="00E47488">
        <w:rPr>
          <w:rFonts w:asciiTheme="majorHAnsi" w:hAnsiTheme="majorHAnsi"/>
        </w:rPr>
        <w:t xml:space="preserve">costs and other </w:t>
      </w:r>
      <w:r w:rsidRPr="00223856">
        <w:rPr>
          <w:rFonts w:asciiTheme="majorHAnsi" w:hAnsiTheme="majorHAnsi"/>
        </w:rPr>
        <w:t xml:space="preserve">burdens of disclosure are borne </w:t>
      </w:r>
      <w:r w:rsidR="00E47488">
        <w:rPr>
          <w:rFonts w:asciiTheme="majorHAnsi" w:hAnsiTheme="majorHAnsi"/>
        </w:rPr>
        <w:t xml:space="preserve">equally, or even </w:t>
      </w:r>
      <w:r w:rsidRPr="00223856">
        <w:rPr>
          <w:rFonts w:asciiTheme="majorHAnsi" w:hAnsiTheme="majorHAnsi"/>
        </w:rPr>
        <w:t>disproportionately</w:t>
      </w:r>
      <w:r w:rsidR="00E47488">
        <w:rPr>
          <w:rFonts w:asciiTheme="majorHAnsi" w:hAnsiTheme="majorHAnsi"/>
        </w:rPr>
        <w:t>,</w:t>
      </w:r>
      <w:r w:rsidRPr="00223856">
        <w:rPr>
          <w:rFonts w:asciiTheme="majorHAnsi" w:hAnsiTheme="majorHAnsi"/>
        </w:rPr>
        <w:t xml:space="preserve"> by the less educated poor—th</w:t>
      </w:r>
      <w:r w:rsidR="00E47488">
        <w:rPr>
          <w:rFonts w:asciiTheme="majorHAnsi" w:hAnsiTheme="majorHAnsi"/>
        </w:rPr>
        <w:t>ose least likely to enjoy them—d</w:t>
      </w:r>
      <w:r w:rsidRPr="00223856">
        <w:rPr>
          <w:rFonts w:asciiTheme="majorHAnsi" w:hAnsiTheme="majorHAnsi"/>
        </w:rPr>
        <w:t xml:space="preserve">isclosures create a regressive wealth transfer.  </w:t>
      </w:r>
      <w:r w:rsidR="00D66CF0" w:rsidRPr="00223856">
        <w:rPr>
          <w:rFonts w:asciiTheme="majorHAnsi" w:hAnsiTheme="majorHAnsi"/>
        </w:rPr>
        <w:t>Although not general, t</w:t>
      </w:r>
      <w:r w:rsidRPr="00223856">
        <w:rPr>
          <w:rFonts w:asciiTheme="majorHAnsi" w:hAnsiTheme="majorHAnsi"/>
        </w:rPr>
        <w:t xml:space="preserve">here are some </w:t>
      </w:r>
      <w:r w:rsidR="00D66CF0" w:rsidRPr="00223856">
        <w:rPr>
          <w:rFonts w:asciiTheme="majorHAnsi" w:hAnsiTheme="majorHAnsi"/>
        </w:rPr>
        <w:t xml:space="preserve">disturbing </w:t>
      </w:r>
      <w:r w:rsidRPr="00223856">
        <w:rPr>
          <w:rFonts w:asciiTheme="majorHAnsi" w:hAnsiTheme="majorHAnsi"/>
        </w:rPr>
        <w:t>instances in which this phenomenon has been empirically documented. For example, hospitals must disclose report cards—scores that measure of the quality of treatment they provide, most often mortality rates. There is some evidence that this mandate led hospital to improve the reported dimensions, but there are also discouraging findings that the disclosure hurt the sicker and poorer patients. Healthier patients found their way to higher rated hospitals, while sicker patients were treated in hospitals with worse grades. Researchers found “marginal health benefits for healthy patients, and major adverse health consequences for sicker patients.”</w:t>
      </w:r>
      <w:r w:rsidRPr="00223856">
        <w:rPr>
          <w:rFonts w:asciiTheme="majorHAnsi" w:hAnsiTheme="majorHAnsi"/>
          <w:vertAlign w:val="superscript"/>
        </w:rPr>
        <w:footnoteReference w:id="33"/>
      </w:r>
      <w:r w:rsidRPr="00223856">
        <w:rPr>
          <w:rFonts w:asciiTheme="majorHAnsi" w:hAnsiTheme="majorHAnsi"/>
        </w:rPr>
        <w:t xml:space="preserve"> Perhaps this is </w:t>
      </w:r>
      <w:r w:rsidRPr="00223856">
        <w:rPr>
          <w:rFonts w:asciiTheme="majorHAnsi" w:hAnsiTheme="majorHAnsi"/>
        </w:rPr>
        <w:lastRenderedPageBreak/>
        <w:t>due to the enhanced ability of more sophisticated patients to enter higher quality hospitals, thereby leaving less space or bumping out the less sophisticated and sicker patients</w:t>
      </w:r>
      <w:r w:rsidR="00D66CF0" w:rsidRPr="00223856">
        <w:rPr>
          <w:rFonts w:asciiTheme="majorHAnsi" w:hAnsiTheme="majorHAnsi"/>
        </w:rPr>
        <w:t xml:space="preserve"> (a “musical chairs” dynamic)</w:t>
      </w:r>
      <w:r w:rsidRPr="00223856">
        <w:rPr>
          <w:rFonts w:asciiTheme="majorHAnsi" w:hAnsiTheme="majorHAnsi"/>
        </w:rPr>
        <w:t xml:space="preserve">. The disclosure regime—although equally accessible and distributed to all—appears to have made things better for the rich and worse for the poor. </w:t>
      </w:r>
    </w:p>
    <w:p w14:paraId="11D84C99" w14:textId="77777777" w:rsidR="00E47488" w:rsidRDefault="00E47488" w:rsidP="00E47488">
      <w:pPr>
        <w:ind w:firstLine="720"/>
        <w:rPr>
          <w:rFonts w:asciiTheme="majorHAnsi" w:hAnsiTheme="majorHAnsi"/>
        </w:rPr>
      </w:pPr>
    </w:p>
    <w:p w14:paraId="31FF4873" w14:textId="77777777" w:rsidR="00770306" w:rsidRPr="00223856" w:rsidRDefault="00770306" w:rsidP="00E47488">
      <w:pPr>
        <w:ind w:firstLine="720"/>
        <w:rPr>
          <w:rFonts w:asciiTheme="majorHAnsi" w:hAnsiTheme="majorHAnsi"/>
        </w:rPr>
      </w:pPr>
      <w:r w:rsidRPr="00223856">
        <w:rPr>
          <w:rFonts w:asciiTheme="majorHAnsi" w:hAnsiTheme="majorHAnsi" w:cs="Cambria"/>
        </w:rPr>
        <w:t>In sum, mandated disclosure often benefits the privileged more than the unprivileged.  Disclosures are nuts distributed to all, but only those with t</w:t>
      </w:r>
      <w:r w:rsidR="00D66CF0" w:rsidRPr="00223856">
        <w:rPr>
          <w:rFonts w:asciiTheme="majorHAnsi" w:hAnsiTheme="majorHAnsi" w:cs="Cambria"/>
        </w:rPr>
        <w:t>eeth can bite. And “teeth” are</w:t>
      </w:r>
      <w:r w:rsidRPr="00223856">
        <w:rPr>
          <w:rFonts w:asciiTheme="majorHAnsi" w:hAnsiTheme="majorHAnsi" w:cs="Cambria"/>
        </w:rPr>
        <w:t xml:space="preserve"> </w:t>
      </w:r>
      <w:r w:rsidR="00D66CF0" w:rsidRPr="00223856">
        <w:rPr>
          <w:rFonts w:asciiTheme="majorHAnsi" w:hAnsiTheme="majorHAnsi" w:cs="Cambria"/>
        </w:rPr>
        <w:t xml:space="preserve">evidently </w:t>
      </w:r>
      <w:r w:rsidRPr="00223856">
        <w:rPr>
          <w:rFonts w:asciiTheme="majorHAnsi" w:hAnsiTheme="majorHAnsi" w:cs="Cambria"/>
        </w:rPr>
        <w:t>correlated with wealth and privilege.</w:t>
      </w:r>
    </w:p>
    <w:p w14:paraId="298B2677" w14:textId="77777777" w:rsidR="00770306" w:rsidRPr="00223856" w:rsidRDefault="00770306" w:rsidP="00770306">
      <w:pPr>
        <w:rPr>
          <w:rFonts w:asciiTheme="majorHAnsi" w:hAnsiTheme="majorHAnsi"/>
        </w:rPr>
      </w:pPr>
    </w:p>
    <w:p w14:paraId="5A4F7008" w14:textId="77777777" w:rsidR="00DB14C1" w:rsidRPr="00223856" w:rsidRDefault="009C52D5" w:rsidP="00770306">
      <w:pPr>
        <w:pStyle w:val="ListParagraph"/>
        <w:numPr>
          <w:ilvl w:val="0"/>
          <w:numId w:val="4"/>
        </w:numPr>
        <w:rPr>
          <w:rFonts w:asciiTheme="majorHAnsi" w:hAnsiTheme="majorHAnsi"/>
        </w:rPr>
      </w:pPr>
      <w:r w:rsidRPr="00223856">
        <w:rPr>
          <w:rFonts w:asciiTheme="majorHAnsi" w:hAnsiTheme="majorHAnsi"/>
          <w:i/>
        </w:rPr>
        <w:t>Accommodations for Disabilities</w:t>
      </w:r>
    </w:p>
    <w:p w14:paraId="3489C3B7" w14:textId="77777777" w:rsidR="009C52D5" w:rsidRPr="00223856" w:rsidRDefault="009C52D5" w:rsidP="009C52D5">
      <w:pPr>
        <w:rPr>
          <w:rFonts w:asciiTheme="majorHAnsi" w:hAnsiTheme="majorHAnsi"/>
        </w:rPr>
      </w:pPr>
    </w:p>
    <w:p w14:paraId="24261109" w14:textId="77777777" w:rsidR="006D0C56" w:rsidRDefault="009C52D5" w:rsidP="006D0C56">
      <w:pPr>
        <w:ind w:firstLine="720"/>
        <w:rPr>
          <w:rStyle w:val="ptext-"/>
          <w:rFonts w:asciiTheme="majorHAnsi" w:eastAsia="Times New Roman" w:hAnsiTheme="majorHAnsi" w:cs="Times New Roman"/>
        </w:rPr>
      </w:pPr>
      <w:r w:rsidRPr="00223856">
        <w:rPr>
          <w:rFonts w:asciiTheme="majorHAnsi" w:hAnsiTheme="majorHAnsi"/>
        </w:rPr>
        <w:t xml:space="preserve">In general, laws mandating access </w:t>
      </w:r>
      <w:r w:rsidR="006D0C56">
        <w:rPr>
          <w:rFonts w:asciiTheme="majorHAnsi" w:hAnsiTheme="majorHAnsi"/>
        </w:rPr>
        <w:t>for</w:t>
      </w:r>
      <w:r w:rsidRPr="00223856">
        <w:rPr>
          <w:rFonts w:asciiTheme="majorHAnsi" w:hAnsiTheme="majorHAnsi"/>
        </w:rPr>
        <w:t xml:space="preserve"> people with disability have an important effect that goes beyond income redistribution. Enabling disabled people to access public areas, buildings, and transportation allows them fuller participation in societ</w:t>
      </w:r>
      <w:r w:rsidR="00312F26" w:rsidRPr="00223856">
        <w:rPr>
          <w:rFonts w:asciiTheme="majorHAnsi" w:hAnsiTheme="majorHAnsi"/>
        </w:rPr>
        <w:t>y</w:t>
      </w:r>
      <w:r w:rsidR="00414AE1" w:rsidRPr="00223856">
        <w:rPr>
          <w:rFonts w:asciiTheme="majorHAnsi" w:hAnsiTheme="majorHAnsi"/>
        </w:rPr>
        <w:t>, and serves the goal of “equal access to societal opportunities</w:t>
      </w:r>
      <w:r w:rsidR="00312F26" w:rsidRPr="00223856">
        <w:rPr>
          <w:rFonts w:asciiTheme="majorHAnsi" w:hAnsiTheme="majorHAnsi"/>
        </w:rPr>
        <w:t>.</w:t>
      </w:r>
      <w:r w:rsidR="00414AE1" w:rsidRPr="00223856">
        <w:rPr>
          <w:rFonts w:asciiTheme="majorHAnsi" w:hAnsiTheme="majorHAnsi"/>
        </w:rPr>
        <w:t>”</w:t>
      </w:r>
      <w:r w:rsidR="00414AE1" w:rsidRPr="00093969">
        <w:rPr>
          <w:rStyle w:val="FootnoteReference"/>
        </w:rPr>
        <w:footnoteReference w:id="34"/>
      </w:r>
      <w:r w:rsidR="00312F26" w:rsidRPr="00223856">
        <w:rPr>
          <w:rFonts w:asciiTheme="majorHAnsi" w:hAnsiTheme="majorHAnsi"/>
        </w:rPr>
        <w:t xml:space="preserve"> </w:t>
      </w:r>
      <w:r w:rsidR="00476C4E" w:rsidRPr="00223856">
        <w:rPr>
          <w:rFonts w:asciiTheme="majorHAnsi" w:hAnsiTheme="majorHAnsi"/>
        </w:rPr>
        <w:t>For example,</w:t>
      </w:r>
      <w:r w:rsidR="00414AE1" w:rsidRPr="00223856">
        <w:rPr>
          <w:rFonts w:asciiTheme="majorHAnsi" w:hAnsiTheme="majorHAnsi"/>
        </w:rPr>
        <w:t xml:space="preserve"> Section </w:t>
      </w:r>
      <w:r w:rsidR="00476C4E" w:rsidRPr="00223856">
        <w:rPr>
          <w:rFonts w:asciiTheme="majorHAnsi" w:hAnsiTheme="majorHAnsi"/>
        </w:rPr>
        <w:t>504</w:t>
      </w:r>
      <w:r w:rsidR="00414AE1" w:rsidRPr="00223856">
        <w:rPr>
          <w:rFonts w:asciiTheme="majorHAnsi" w:hAnsiTheme="majorHAnsi"/>
        </w:rPr>
        <w:t xml:space="preserve"> of the Rehabilitation Act</w:t>
      </w:r>
      <w:r w:rsidR="00476C4E" w:rsidRPr="00223856">
        <w:rPr>
          <w:rFonts w:asciiTheme="majorHAnsi" w:hAnsiTheme="majorHAnsi"/>
        </w:rPr>
        <w:t xml:space="preserve"> of 1973 f</w:t>
      </w:r>
      <w:r w:rsidR="00414AE1" w:rsidRPr="00223856">
        <w:rPr>
          <w:rFonts w:asciiTheme="majorHAnsi" w:hAnsiTheme="majorHAnsi"/>
        </w:rPr>
        <w:t>orbids organizations and employers from excluding or denying individuals with disabilities an</w:t>
      </w:r>
      <w:r w:rsidR="00476C4E" w:rsidRPr="00223856">
        <w:rPr>
          <w:rFonts w:asciiTheme="majorHAnsi" w:hAnsiTheme="majorHAnsi"/>
        </w:rPr>
        <w:t xml:space="preserve"> </w:t>
      </w:r>
      <w:r w:rsidR="00414AE1" w:rsidRPr="00223856">
        <w:rPr>
          <w:rFonts w:asciiTheme="majorHAnsi" w:hAnsiTheme="majorHAnsi"/>
        </w:rPr>
        <w:t xml:space="preserve">equal opportunity to receive program benefits and services. </w:t>
      </w:r>
      <w:r w:rsidR="00476C4E" w:rsidRPr="00223856">
        <w:rPr>
          <w:rFonts w:asciiTheme="majorHAnsi" w:hAnsiTheme="majorHAnsi"/>
        </w:rPr>
        <w:t>It is aimed to “</w:t>
      </w:r>
      <w:r w:rsidR="00476C4E" w:rsidRPr="00223856">
        <w:rPr>
          <w:rStyle w:val="ptext-"/>
          <w:rFonts w:asciiTheme="majorHAnsi" w:eastAsia="Times New Roman" w:hAnsiTheme="majorHAnsi" w:cs="Times New Roman"/>
        </w:rPr>
        <w:t>guarantee equality of opportunity” and “equal access” for people with disabilities.</w:t>
      </w:r>
      <w:r w:rsidR="00476C4E" w:rsidRPr="00093969">
        <w:rPr>
          <w:rStyle w:val="FootnoteReference"/>
        </w:rPr>
        <w:footnoteReference w:id="35"/>
      </w:r>
      <w:r w:rsidR="00476C4E" w:rsidRPr="00223856">
        <w:rPr>
          <w:rStyle w:val="ptext-"/>
          <w:rFonts w:asciiTheme="majorHAnsi" w:eastAsia="Times New Roman" w:hAnsiTheme="majorHAnsi" w:cs="Times New Roman"/>
        </w:rPr>
        <w:t xml:space="preserve"> </w:t>
      </w:r>
    </w:p>
    <w:p w14:paraId="636839AB" w14:textId="77777777" w:rsidR="006D0C56" w:rsidRDefault="006D0C56" w:rsidP="006D0C56">
      <w:pPr>
        <w:ind w:firstLine="720"/>
        <w:rPr>
          <w:rStyle w:val="ptext-"/>
          <w:rFonts w:asciiTheme="majorHAnsi" w:eastAsia="Times New Roman" w:hAnsiTheme="majorHAnsi" w:cs="Times New Roman"/>
        </w:rPr>
      </w:pPr>
    </w:p>
    <w:p w14:paraId="30794630" w14:textId="77777777" w:rsidR="006D0C56" w:rsidRDefault="00476C4E" w:rsidP="006D0C56">
      <w:pPr>
        <w:ind w:firstLine="720"/>
        <w:rPr>
          <w:rFonts w:asciiTheme="majorHAnsi" w:hAnsiTheme="majorHAnsi"/>
        </w:rPr>
      </w:pPr>
      <w:r w:rsidRPr="00223856">
        <w:rPr>
          <w:rStyle w:val="ptext-"/>
          <w:rFonts w:asciiTheme="majorHAnsi" w:eastAsia="Times New Roman" w:hAnsiTheme="majorHAnsi" w:cs="Times New Roman"/>
        </w:rPr>
        <w:t xml:space="preserve">But disability accommodations could be regressive, when they </w:t>
      </w:r>
      <w:r w:rsidRPr="00223856">
        <w:rPr>
          <w:rFonts w:asciiTheme="majorHAnsi" w:hAnsiTheme="majorHAnsi"/>
        </w:rPr>
        <w:t xml:space="preserve">disproportionally benefit high income and elite groups. Consider the following example. Under Section 504, </w:t>
      </w:r>
      <w:r w:rsidRPr="00223856">
        <w:rPr>
          <w:rFonts w:asciiTheme="majorHAnsi" w:hAnsiTheme="majorHAnsi"/>
          <w:lang w:val="en-IE"/>
        </w:rPr>
        <w:t xml:space="preserve">public school students with disabilities are entitled to accommodations such as additional time on exams and assignments. There is </w:t>
      </w:r>
      <w:r w:rsidR="003A3879" w:rsidRPr="00223856">
        <w:rPr>
          <w:rFonts w:asciiTheme="majorHAnsi" w:hAnsiTheme="majorHAnsi"/>
          <w:lang w:val="en-IE"/>
        </w:rPr>
        <w:t xml:space="preserve">now </w:t>
      </w:r>
      <w:r w:rsidR="00D66CF0" w:rsidRPr="00223856">
        <w:rPr>
          <w:rFonts w:asciiTheme="majorHAnsi" w:hAnsiTheme="majorHAnsi"/>
          <w:lang w:val="en-IE"/>
        </w:rPr>
        <w:t>growing</w:t>
      </w:r>
      <w:r w:rsidR="003A3879" w:rsidRPr="00223856">
        <w:rPr>
          <w:rFonts w:asciiTheme="majorHAnsi" w:hAnsiTheme="majorHAnsi"/>
          <w:lang w:val="en-IE"/>
        </w:rPr>
        <w:t xml:space="preserve"> evidence that in reality students from affluent areas are far more likely to enjoy these accommodations than students from poor families. Based on data from</w:t>
      </w:r>
      <w:r w:rsidRPr="00223856">
        <w:rPr>
          <w:rFonts w:asciiTheme="majorHAnsi" w:hAnsiTheme="majorHAnsi"/>
        </w:rPr>
        <w:t xml:space="preserve"> the U.S. Department of Education's Civil Rights Data Collection</w:t>
      </w:r>
      <w:r w:rsidR="003A3879" w:rsidRPr="00223856">
        <w:rPr>
          <w:rFonts w:asciiTheme="majorHAnsi" w:hAnsiTheme="majorHAnsi"/>
        </w:rPr>
        <w:t>, it was shown that students in wealthy districts have nearly 5 times more utilization of the accommodations, relative to the state average</w:t>
      </w:r>
      <w:r w:rsidRPr="00223856">
        <w:rPr>
          <w:rFonts w:asciiTheme="majorHAnsi" w:hAnsiTheme="majorHAnsi"/>
        </w:rPr>
        <w:t xml:space="preserve">. </w:t>
      </w:r>
      <w:r w:rsidR="003A3879" w:rsidRPr="00223856">
        <w:rPr>
          <w:rFonts w:asciiTheme="majorHAnsi" w:hAnsiTheme="majorHAnsi"/>
        </w:rPr>
        <w:t>In Illinois, only a</w:t>
      </w:r>
      <w:r w:rsidRPr="00223856">
        <w:rPr>
          <w:rFonts w:asciiTheme="majorHAnsi" w:hAnsiTheme="majorHAnsi"/>
        </w:rPr>
        <w:t xml:space="preserve">bout 1% of public school students statewide had Section 504 </w:t>
      </w:r>
      <w:r w:rsidR="003A3879" w:rsidRPr="00223856">
        <w:rPr>
          <w:rFonts w:asciiTheme="majorHAnsi" w:hAnsiTheme="majorHAnsi"/>
        </w:rPr>
        <w:t xml:space="preserve">accommodations, compared to </w:t>
      </w:r>
      <w:r w:rsidRPr="00223856">
        <w:rPr>
          <w:rFonts w:asciiTheme="majorHAnsi" w:hAnsiTheme="majorHAnsi"/>
        </w:rPr>
        <w:t xml:space="preserve">5% </w:t>
      </w:r>
      <w:r w:rsidR="003A3879" w:rsidRPr="00223856">
        <w:rPr>
          <w:rFonts w:asciiTheme="majorHAnsi" w:hAnsiTheme="majorHAnsi"/>
        </w:rPr>
        <w:t>in Chicago’s wealthy suburbs. T</w:t>
      </w:r>
      <w:r w:rsidRPr="00223856">
        <w:rPr>
          <w:rFonts w:asciiTheme="majorHAnsi" w:hAnsiTheme="majorHAnsi"/>
        </w:rPr>
        <w:t xml:space="preserve">he 20 districts with the highest percentages </w:t>
      </w:r>
      <w:r w:rsidR="003A3879" w:rsidRPr="00223856">
        <w:rPr>
          <w:rFonts w:asciiTheme="majorHAnsi" w:hAnsiTheme="majorHAnsi"/>
        </w:rPr>
        <w:t>enrollment</w:t>
      </w:r>
      <w:r w:rsidRPr="00223856">
        <w:rPr>
          <w:rFonts w:asciiTheme="majorHAnsi" w:hAnsiTheme="majorHAnsi"/>
        </w:rPr>
        <w:t xml:space="preserve"> had 76% white enrollments and all had lower percentage of poverty than the state</w:t>
      </w:r>
      <w:r w:rsidR="003A3879" w:rsidRPr="00223856">
        <w:rPr>
          <w:rFonts w:asciiTheme="majorHAnsi" w:hAnsiTheme="majorHAnsi"/>
        </w:rPr>
        <w:t xml:space="preserve"> average</w:t>
      </w:r>
      <w:r w:rsidRPr="00223856">
        <w:rPr>
          <w:rFonts w:asciiTheme="majorHAnsi" w:hAnsiTheme="majorHAnsi"/>
        </w:rPr>
        <w:t xml:space="preserve">, while the 20 districts with the lowest </w:t>
      </w:r>
      <w:r w:rsidR="003A3879" w:rsidRPr="00223856">
        <w:rPr>
          <w:rFonts w:asciiTheme="majorHAnsi" w:hAnsiTheme="majorHAnsi"/>
        </w:rPr>
        <w:t>enrollment</w:t>
      </w:r>
      <w:r w:rsidRPr="00223856">
        <w:rPr>
          <w:rFonts w:asciiTheme="majorHAnsi" w:hAnsiTheme="majorHAnsi"/>
        </w:rPr>
        <w:t xml:space="preserve"> were only 19% white </w:t>
      </w:r>
      <w:r w:rsidR="003A3879" w:rsidRPr="00223856">
        <w:rPr>
          <w:rFonts w:asciiTheme="majorHAnsi" w:hAnsiTheme="majorHAnsi"/>
        </w:rPr>
        <w:t>and</w:t>
      </w:r>
      <w:r w:rsidRPr="00223856">
        <w:rPr>
          <w:rFonts w:asciiTheme="majorHAnsi" w:hAnsiTheme="majorHAnsi"/>
        </w:rPr>
        <w:t xml:space="preserve"> far higher poverty than the state average.</w:t>
      </w:r>
      <w:r w:rsidR="00D54C1C" w:rsidRPr="00093969">
        <w:rPr>
          <w:rStyle w:val="FootnoteReference"/>
        </w:rPr>
        <w:footnoteReference w:id="36"/>
      </w:r>
    </w:p>
    <w:p w14:paraId="37867CF3" w14:textId="77777777" w:rsidR="006D0C56" w:rsidRDefault="006D0C56" w:rsidP="006D0C56">
      <w:pPr>
        <w:ind w:firstLine="720"/>
        <w:rPr>
          <w:rFonts w:asciiTheme="majorHAnsi" w:hAnsiTheme="majorHAnsi"/>
        </w:rPr>
      </w:pPr>
    </w:p>
    <w:p w14:paraId="3D744421" w14:textId="77777777" w:rsidR="006D0C56" w:rsidRDefault="00476C4E" w:rsidP="006D0C56">
      <w:pPr>
        <w:ind w:firstLine="720"/>
        <w:rPr>
          <w:rFonts w:asciiTheme="majorHAnsi" w:eastAsia="Times New Roman" w:hAnsiTheme="majorHAnsi" w:cs="Times New Roman"/>
        </w:rPr>
      </w:pPr>
      <w:r w:rsidRPr="00223856">
        <w:rPr>
          <w:rFonts w:asciiTheme="majorHAnsi" w:hAnsiTheme="majorHAnsi"/>
        </w:rPr>
        <w:t xml:space="preserve">Section 504 </w:t>
      </w:r>
      <w:r w:rsidR="003A3879" w:rsidRPr="00223856">
        <w:rPr>
          <w:rFonts w:asciiTheme="majorHAnsi" w:hAnsiTheme="majorHAnsi"/>
        </w:rPr>
        <w:t>was</w:t>
      </w:r>
      <w:r w:rsidRPr="00223856">
        <w:rPr>
          <w:rFonts w:asciiTheme="majorHAnsi" w:hAnsiTheme="majorHAnsi"/>
        </w:rPr>
        <w:t xml:space="preserve"> designed to level the playing field for people with disabilities in order to </w:t>
      </w:r>
      <w:r w:rsidR="003A3879" w:rsidRPr="00223856">
        <w:rPr>
          <w:rFonts w:asciiTheme="majorHAnsi" w:hAnsiTheme="majorHAnsi"/>
        </w:rPr>
        <w:t xml:space="preserve">afford them equal opportunities. </w:t>
      </w:r>
      <w:r w:rsidR="00CB2517" w:rsidRPr="00223856">
        <w:rPr>
          <w:rFonts w:asciiTheme="majorHAnsi" w:hAnsiTheme="majorHAnsi"/>
        </w:rPr>
        <w:t xml:space="preserve">In a broad range of areas, it benefits people with disabilities relative to others. </w:t>
      </w:r>
      <w:r w:rsidR="003A3879" w:rsidRPr="00223856">
        <w:rPr>
          <w:rFonts w:asciiTheme="majorHAnsi" w:hAnsiTheme="majorHAnsi"/>
        </w:rPr>
        <w:t xml:space="preserve">But </w:t>
      </w:r>
      <w:r w:rsidR="00CB2517" w:rsidRPr="00223856">
        <w:rPr>
          <w:rFonts w:asciiTheme="majorHAnsi" w:hAnsiTheme="majorHAnsi"/>
        </w:rPr>
        <w:t xml:space="preserve">in some areas, </w:t>
      </w:r>
      <w:r w:rsidR="006D0C56">
        <w:rPr>
          <w:rFonts w:asciiTheme="majorHAnsi" w:hAnsiTheme="majorHAnsi"/>
        </w:rPr>
        <w:t xml:space="preserve">it is a privilege that is not simple or cheap to invoke. First, </w:t>
      </w:r>
      <w:r w:rsidR="00CB2517" w:rsidRPr="00223856">
        <w:rPr>
          <w:rFonts w:asciiTheme="majorHAnsi" w:hAnsiTheme="majorHAnsi"/>
        </w:rPr>
        <w:t xml:space="preserve">some measure of sophistication is necessary to </w:t>
      </w:r>
      <w:r w:rsidR="006D0C56">
        <w:rPr>
          <w:rFonts w:asciiTheme="majorHAnsi" w:hAnsiTheme="majorHAnsi"/>
        </w:rPr>
        <w:t>know about</w:t>
      </w:r>
      <w:r w:rsidR="00CB2517" w:rsidRPr="00223856">
        <w:rPr>
          <w:rFonts w:asciiTheme="majorHAnsi" w:hAnsiTheme="majorHAnsi"/>
        </w:rPr>
        <w:t xml:space="preserve"> the available accommodations and rights</w:t>
      </w:r>
      <w:r w:rsidR="006D0C56">
        <w:rPr>
          <w:rFonts w:asciiTheme="majorHAnsi" w:hAnsiTheme="majorHAnsi"/>
        </w:rPr>
        <w:t>, and to ask for it</w:t>
      </w:r>
      <w:r w:rsidR="00CB2517" w:rsidRPr="00223856">
        <w:rPr>
          <w:rFonts w:asciiTheme="majorHAnsi" w:hAnsiTheme="majorHAnsi"/>
        </w:rPr>
        <w:t>.</w:t>
      </w:r>
      <w:r w:rsidR="006D0C56">
        <w:rPr>
          <w:rFonts w:asciiTheme="majorHAnsi" w:hAnsiTheme="majorHAnsi"/>
        </w:rPr>
        <w:t xml:space="preserve"> Second, exam accommodations require the qualifying student to be diagnosed as having a learning disability. These diagnostics are expensive and require both financial investment and motivation.</w:t>
      </w:r>
      <w:r w:rsidR="00CB2517" w:rsidRPr="00223856">
        <w:rPr>
          <w:rFonts w:asciiTheme="majorHAnsi" w:hAnsiTheme="majorHAnsi"/>
        </w:rPr>
        <w:t xml:space="preserve"> It is here that a gap between the sophisticated and the poor </w:t>
      </w:r>
      <w:r w:rsidR="006D0C56">
        <w:rPr>
          <w:rFonts w:asciiTheme="majorHAnsi" w:hAnsiTheme="majorHAnsi"/>
        </w:rPr>
        <w:t>re-</w:t>
      </w:r>
      <w:r w:rsidR="00CB2517" w:rsidRPr="00223856">
        <w:rPr>
          <w:rFonts w:asciiTheme="majorHAnsi" w:hAnsiTheme="majorHAnsi"/>
        </w:rPr>
        <w:t xml:space="preserve">emerges, and the accommodations </w:t>
      </w:r>
      <w:r w:rsidRPr="00223856">
        <w:rPr>
          <w:rFonts w:asciiTheme="majorHAnsi" w:hAnsiTheme="majorHAnsi"/>
        </w:rPr>
        <w:t>disproportionally benefit high income and elite groups.</w:t>
      </w:r>
    </w:p>
    <w:p w14:paraId="30667544" w14:textId="77777777" w:rsidR="006D0C56" w:rsidRDefault="006D0C56" w:rsidP="006D0C56">
      <w:pPr>
        <w:ind w:firstLine="720"/>
        <w:rPr>
          <w:rFonts w:asciiTheme="majorHAnsi" w:eastAsia="Times New Roman" w:hAnsiTheme="majorHAnsi" w:cs="Times New Roman"/>
        </w:rPr>
      </w:pPr>
    </w:p>
    <w:p w14:paraId="65AD6BEC" w14:textId="77777777" w:rsidR="00414AE1" w:rsidRPr="006D0C56" w:rsidRDefault="00CB2517" w:rsidP="006D0C56">
      <w:pPr>
        <w:ind w:firstLine="720"/>
        <w:rPr>
          <w:rFonts w:asciiTheme="majorHAnsi" w:eastAsia="Times New Roman" w:hAnsiTheme="majorHAnsi" w:cs="Times New Roman"/>
        </w:rPr>
      </w:pPr>
      <w:r w:rsidRPr="00223856">
        <w:rPr>
          <w:rFonts w:asciiTheme="majorHAnsi" w:hAnsiTheme="majorHAnsi"/>
        </w:rPr>
        <w:t>This is not a transfer from the poor to the wealthy, because the advantages accorded to disabled students in wealthy suburbs do not come at the expense of disabled students in poor districts. Instead, the advantages are largely at the expense of healthy students (and disproportionately those from wealthy suburbs). But as long</w:t>
      </w:r>
      <w:r w:rsidR="00D66CF0" w:rsidRPr="00223856">
        <w:rPr>
          <w:rFonts w:asciiTheme="majorHAnsi" w:hAnsiTheme="majorHAnsi"/>
        </w:rPr>
        <w:t xml:space="preserve"> as the accommodations benefit </w:t>
      </w:r>
      <w:r w:rsidRPr="00223856">
        <w:rPr>
          <w:rFonts w:asciiTheme="majorHAnsi" w:hAnsiTheme="majorHAnsi"/>
        </w:rPr>
        <w:t xml:space="preserve">the wealthy and not the poor, the relative </w:t>
      </w:r>
      <w:r w:rsidR="00D54C1C" w:rsidRPr="00223856">
        <w:rPr>
          <w:rFonts w:asciiTheme="majorHAnsi" w:hAnsiTheme="majorHAnsi"/>
        </w:rPr>
        <w:t xml:space="preserve">opportunities of the wealthy increase, </w:t>
      </w:r>
      <w:r w:rsidR="006D0C56">
        <w:rPr>
          <w:rFonts w:asciiTheme="majorHAnsi" w:hAnsiTheme="majorHAnsi"/>
        </w:rPr>
        <w:t>contributing to the relative deprivation of the poor</w:t>
      </w:r>
      <w:r w:rsidR="00D54C1C" w:rsidRPr="00223856">
        <w:rPr>
          <w:rFonts w:asciiTheme="majorHAnsi" w:hAnsiTheme="majorHAnsi"/>
        </w:rPr>
        <w:t>.</w:t>
      </w:r>
    </w:p>
    <w:p w14:paraId="49121BBE" w14:textId="77777777" w:rsidR="00DB14C1" w:rsidRPr="00223856" w:rsidRDefault="00DB14C1">
      <w:pPr>
        <w:rPr>
          <w:rFonts w:asciiTheme="majorHAnsi" w:hAnsiTheme="majorHAnsi"/>
        </w:rPr>
      </w:pPr>
    </w:p>
    <w:p w14:paraId="56BF2E26" w14:textId="77777777" w:rsidR="00BC7B73" w:rsidRPr="00223856" w:rsidRDefault="00963345" w:rsidP="00770306">
      <w:pPr>
        <w:pStyle w:val="ListParagraph"/>
        <w:numPr>
          <w:ilvl w:val="0"/>
          <w:numId w:val="4"/>
        </w:numPr>
        <w:rPr>
          <w:rFonts w:asciiTheme="majorHAnsi" w:hAnsiTheme="majorHAnsi"/>
          <w:i/>
        </w:rPr>
      </w:pPr>
      <w:r w:rsidRPr="00223856">
        <w:rPr>
          <w:rFonts w:asciiTheme="majorHAnsi" w:hAnsiTheme="majorHAnsi"/>
          <w:i/>
        </w:rPr>
        <w:t>The General Pattern</w:t>
      </w:r>
    </w:p>
    <w:p w14:paraId="7F5A57BE" w14:textId="77777777" w:rsidR="00963345" w:rsidRPr="00223856" w:rsidRDefault="00963345" w:rsidP="00963345">
      <w:pPr>
        <w:pStyle w:val="ListParagraph"/>
        <w:rPr>
          <w:rFonts w:asciiTheme="majorHAnsi" w:hAnsiTheme="majorHAnsi"/>
        </w:rPr>
      </w:pPr>
    </w:p>
    <w:p w14:paraId="47E52276" w14:textId="77777777" w:rsidR="00BC7B73" w:rsidRDefault="00BC7B73" w:rsidP="006D0C56">
      <w:pPr>
        <w:ind w:firstLine="720"/>
        <w:rPr>
          <w:rFonts w:asciiTheme="majorHAnsi" w:hAnsiTheme="majorHAnsi"/>
        </w:rPr>
      </w:pPr>
      <w:r w:rsidRPr="00223856">
        <w:rPr>
          <w:rFonts w:asciiTheme="majorHAnsi" w:hAnsiTheme="majorHAnsi"/>
        </w:rPr>
        <w:t>The pattern that the examples above demonstrate is the following. An open access policy can unintentionally become regressive if two conditions are met:</w:t>
      </w:r>
    </w:p>
    <w:p w14:paraId="3C67EE3F" w14:textId="77777777" w:rsidR="00C20587" w:rsidRPr="00223856" w:rsidRDefault="00C20587" w:rsidP="006D0C56">
      <w:pPr>
        <w:ind w:firstLine="720"/>
        <w:rPr>
          <w:rFonts w:asciiTheme="majorHAnsi" w:hAnsiTheme="majorHAnsi"/>
        </w:rPr>
      </w:pPr>
    </w:p>
    <w:p w14:paraId="7A2BB782" w14:textId="77777777" w:rsidR="00BC7B73" w:rsidRPr="00223856" w:rsidRDefault="00BC7B73" w:rsidP="006D0C56">
      <w:pPr>
        <w:pStyle w:val="ListParagraph"/>
        <w:numPr>
          <w:ilvl w:val="0"/>
          <w:numId w:val="6"/>
        </w:numPr>
        <w:ind w:left="810"/>
        <w:rPr>
          <w:rFonts w:asciiTheme="majorHAnsi" w:hAnsiTheme="majorHAnsi"/>
        </w:rPr>
      </w:pPr>
      <w:r w:rsidRPr="00223856">
        <w:rPr>
          <w:rFonts w:asciiTheme="majorHAnsi" w:hAnsiTheme="majorHAnsi"/>
        </w:rPr>
        <w:t>Wealthier sub-groups are more likely to enjoy the benefits of open access</w:t>
      </w:r>
    </w:p>
    <w:p w14:paraId="7A2BE125" w14:textId="77777777" w:rsidR="00BC7B73" w:rsidRPr="00223856" w:rsidRDefault="00BC7B73" w:rsidP="006D0C56">
      <w:pPr>
        <w:pStyle w:val="ListParagraph"/>
        <w:numPr>
          <w:ilvl w:val="0"/>
          <w:numId w:val="6"/>
        </w:numPr>
        <w:ind w:left="810"/>
        <w:rPr>
          <w:rFonts w:asciiTheme="majorHAnsi" w:hAnsiTheme="majorHAnsi"/>
        </w:rPr>
      </w:pPr>
      <w:r w:rsidRPr="00223856">
        <w:rPr>
          <w:rFonts w:asciiTheme="majorHAnsi" w:hAnsiTheme="majorHAnsi"/>
        </w:rPr>
        <w:t xml:space="preserve">Poorer sub-groups pay </w:t>
      </w:r>
      <w:r w:rsidR="00FB25B3" w:rsidRPr="00223856">
        <w:rPr>
          <w:rFonts w:asciiTheme="majorHAnsi" w:hAnsiTheme="majorHAnsi"/>
        </w:rPr>
        <w:t>a</w:t>
      </w:r>
      <w:r w:rsidRPr="00223856">
        <w:rPr>
          <w:rFonts w:asciiTheme="majorHAnsi" w:hAnsiTheme="majorHAnsi"/>
        </w:rPr>
        <w:t xml:space="preserve"> share for the funding of the open access</w:t>
      </w:r>
      <w:r w:rsidR="00FB25B3" w:rsidRPr="00223856">
        <w:rPr>
          <w:rFonts w:asciiTheme="majorHAnsi" w:hAnsiTheme="majorHAnsi"/>
        </w:rPr>
        <w:t xml:space="preserve"> that exceeds their proportional benefits.</w:t>
      </w:r>
    </w:p>
    <w:p w14:paraId="00695071" w14:textId="77777777" w:rsidR="00C20587" w:rsidRDefault="00C20587" w:rsidP="00BC7B73">
      <w:pPr>
        <w:rPr>
          <w:rFonts w:asciiTheme="majorHAnsi" w:hAnsiTheme="majorHAnsi"/>
        </w:rPr>
      </w:pPr>
    </w:p>
    <w:p w14:paraId="633FA63D" w14:textId="77777777" w:rsidR="00BC7B73" w:rsidRPr="00223856" w:rsidRDefault="00FB25B3" w:rsidP="00BC7B73">
      <w:pPr>
        <w:rPr>
          <w:rFonts w:asciiTheme="majorHAnsi" w:hAnsiTheme="majorHAnsi"/>
        </w:rPr>
      </w:pPr>
      <w:r w:rsidRPr="00223856">
        <w:rPr>
          <w:rFonts w:asciiTheme="majorHAnsi" w:hAnsiTheme="majorHAnsi"/>
        </w:rPr>
        <w:t>That is, w</w:t>
      </w:r>
      <w:r w:rsidR="00BC7B73" w:rsidRPr="00223856">
        <w:rPr>
          <w:rFonts w:asciiTheme="majorHAnsi" w:hAnsiTheme="majorHAnsi"/>
        </w:rPr>
        <w:t>hen the proportion paid by the poor is greater than the rate by which they withdraw the benefits, the policy is regressive.</w:t>
      </w:r>
    </w:p>
    <w:p w14:paraId="1BD94BEE" w14:textId="77777777" w:rsidR="00BC7B73" w:rsidRPr="00223856" w:rsidRDefault="00BC7B73" w:rsidP="00BC7B73">
      <w:pPr>
        <w:rPr>
          <w:rFonts w:asciiTheme="majorHAnsi" w:hAnsiTheme="majorHAnsi"/>
        </w:rPr>
      </w:pPr>
    </w:p>
    <w:p w14:paraId="7A429C2F" w14:textId="77777777" w:rsidR="00FB25B3" w:rsidRPr="00223856" w:rsidRDefault="00BC7B73" w:rsidP="006D0C56">
      <w:pPr>
        <w:ind w:firstLine="720"/>
        <w:rPr>
          <w:rFonts w:asciiTheme="majorHAnsi" w:hAnsiTheme="majorHAnsi"/>
        </w:rPr>
      </w:pPr>
      <w:r w:rsidRPr="00223856">
        <w:rPr>
          <w:rFonts w:asciiTheme="majorHAnsi" w:hAnsiTheme="majorHAnsi"/>
        </w:rPr>
        <w:t>To illustrate this general pattern, consider the following numerical example. Imagine a society i</w:t>
      </w:r>
      <w:r w:rsidR="009214F4" w:rsidRPr="00223856">
        <w:rPr>
          <w:rFonts w:asciiTheme="majorHAnsi" w:hAnsiTheme="majorHAnsi"/>
        </w:rPr>
        <w:t>n which there are 100 consumers</w:t>
      </w:r>
      <w:r w:rsidR="00C2160F" w:rsidRPr="00223856">
        <w:rPr>
          <w:rFonts w:asciiTheme="majorHAnsi" w:hAnsiTheme="majorHAnsi"/>
        </w:rPr>
        <w:t>. The rich (2</w:t>
      </w:r>
      <w:r w:rsidR="008E1C8C" w:rsidRPr="00223856">
        <w:rPr>
          <w:rFonts w:asciiTheme="majorHAnsi" w:hAnsiTheme="majorHAnsi"/>
        </w:rPr>
        <w:t>0% of population) have a base inc</w:t>
      </w:r>
      <w:r w:rsidR="00C2160F" w:rsidRPr="00223856">
        <w:rPr>
          <w:rFonts w:asciiTheme="majorHAnsi" w:hAnsiTheme="majorHAnsi"/>
        </w:rPr>
        <w:t>ome of 1000; the middle class (4</w:t>
      </w:r>
      <w:r w:rsidR="008E1C8C" w:rsidRPr="00223856">
        <w:rPr>
          <w:rFonts w:asciiTheme="majorHAnsi" w:hAnsiTheme="majorHAnsi"/>
        </w:rPr>
        <w:t xml:space="preserve">0%) have a base income of 400; and the poor (40%) have a base income of 100. </w:t>
      </w:r>
    </w:p>
    <w:p w14:paraId="686EB627" w14:textId="77777777" w:rsidR="00FB25B3" w:rsidRPr="00223856" w:rsidRDefault="00FB25B3" w:rsidP="00C20587">
      <w:pPr>
        <w:jc w:val="center"/>
        <w:rPr>
          <w:rFonts w:asciiTheme="majorHAnsi" w:hAnsiTheme="majorHAnsi"/>
        </w:rPr>
      </w:pPr>
    </w:p>
    <w:tbl>
      <w:tblPr>
        <w:tblStyle w:val="TableGrid"/>
        <w:tblW w:w="0" w:type="auto"/>
        <w:tblInd w:w="108" w:type="dxa"/>
        <w:tblLook w:val="04A0" w:firstRow="1" w:lastRow="0" w:firstColumn="1" w:lastColumn="0" w:noHBand="0" w:noVBand="1"/>
      </w:tblPr>
      <w:tblGrid>
        <w:gridCol w:w="1663"/>
        <w:gridCol w:w="1487"/>
        <w:gridCol w:w="1800"/>
      </w:tblGrid>
      <w:tr w:rsidR="00C20587" w:rsidRPr="00223856" w14:paraId="3F6EA1DF" w14:textId="77777777" w:rsidTr="00FB25B3">
        <w:tc>
          <w:tcPr>
            <w:tcW w:w="1663" w:type="dxa"/>
          </w:tcPr>
          <w:p w14:paraId="7A4ED267" w14:textId="77777777" w:rsidR="00FB25B3" w:rsidRPr="00223856" w:rsidRDefault="00FB25B3" w:rsidP="00C20587">
            <w:pPr>
              <w:jc w:val="center"/>
              <w:rPr>
                <w:rFonts w:asciiTheme="majorHAnsi" w:hAnsiTheme="majorHAnsi"/>
              </w:rPr>
            </w:pPr>
            <w:r w:rsidRPr="00223856">
              <w:rPr>
                <w:rFonts w:asciiTheme="majorHAnsi" w:hAnsiTheme="majorHAnsi"/>
              </w:rPr>
              <w:t>Consumer type</w:t>
            </w:r>
          </w:p>
        </w:tc>
        <w:tc>
          <w:tcPr>
            <w:tcW w:w="1487" w:type="dxa"/>
          </w:tcPr>
          <w:p w14:paraId="3CEAAA43" w14:textId="77777777" w:rsidR="00FB25B3" w:rsidRPr="00223856" w:rsidRDefault="00FB25B3" w:rsidP="00C20587">
            <w:pPr>
              <w:jc w:val="center"/>
              <w:rPr>
                <w:rFonts w:asciiTheme="majorHAnsi" w:hAnsiTheme="majorHAnsi"/>
              </w:rPr>
            </w:pPr>
            <w:r w:rsidRPr="00223856">
              <w:rPr>
                <w:rFonts w:asciiTheme="majorHAnsi" w:hAnsiTheme="majorHAnsi"/>
              </w:rPr>
              <w:t>Frequency</w:t>
            </w:r>
          </w:p>
        </w:tc>
        <w:tc>
          <w:tcPr>
            <w:tcW w:w="1800" w:type="dxa"/>
          </w:tcPr>
          <w:p w14:paraId="11929519" w14:textId="77777777" w:rsidR="00FB25B3" w:rsidRPr="00223856" w:rsidRDefault="00FB25B3" w:rsidP="00C20587">
            <w:pPr>
              <w:jc w:val="center"/>
              <w:rPr>
                <w:rFonts w:asciiTheme="majorHAnsi" w:hAnsiTheme="majorHAnsi"/>
              </w:rPr>
            </w:pPr>
            <w:r w:rsidRPr="00223856">
              <w:rPr>
                <w:rFonts w:asciiTheme="majorHAnsi" w:hAnsiTheme="majorHAnsi"/>
              </w:rPr>
              <w:t>Base Income per consumer</w:t>
            </w:r>
          </w:p>
        </w:tc>
      </w:tr>
      <w:tr w:rsidR="00C20587" w:rsidRPr="00223856" w14:paraId="7A59FEFE" w14:textId="77777777" w:rsidTr="00FB25B3">
        <w:tc>
          <w:tcPr>
            <w:tcW w:w="1663" w:type="dxa"/>
          </w:tcPr>
          <w:p w14:paraId="1244ADEC" w14:textId="77777777" w:rsidR="00FB25B3" w:rsidRPr="00223856" w:rsidRDefault="00FB25B3" w:rsidP="00C20587">
            <w:pPr>
              <w:jc w:val="center"/>
              <w:rPr>
                <w:rFonts w:asciiTheme="majorHAnsi" w:hAnsiTheme="majorHAnsi"/>
              </w:rPr>
            </w:pPr>
            <w:r w:rsidRPr="00223856">
              <w:rPr>
                <w:rFonts w:asciiTheme="majorHAnsi" w:hAnsiTheme="majorHAnsi"/>
              </w:rPr>
              <w:t>Wealthy</w:t>
            </w:r>
          </w:p>
        </w:tc>
        <w:tc>
          <w:tcPr>
            <w:tcW w:w="1487" w:type="dxa"/>
          </w:tcPr>
          <w:p w14:paraId="6FD0FC44" w14:textId="77777777" w:rsidR="00FB25B3" w:rsidRPr="00223856" w:rsidRDefault="00FB25B3" w:rsidP="00C20587">
            <w:pPr>
              <w:jc w:val="center"/>
              <w:rPr>
                <w:rFonts w:asciiTheme="majorHAnsi" w:hAnsiTheme="majorHAnsi"/>
              </w:rPr>
            </w:pPr>
            <w:r w:rsidRPr="00223856">
              <w:rPr>
                <w:rFonts w:asciiTheme="majorHAnsi" w:hAnsiTheme="majorHAnsi"/>
              </w:rPr>
              <w:t>20%</w:t>
            </w:r>
          </w:p>
        </w:tc>
        <w:tc>
          <w:tcPr>
            <w:tcW w:w="1800" w:type="dxa"/>
          </w:tcPr>
          <w:p w14:paraId="3F6AAC1F" w14:textId="77777777" w:rsidR="00FB25B3" w:rsidRPr="00223856" w:rsidRDefault="00FB25B3" w:rsidP="00C20587">
            <w:pPr>
              <w:jc w:val="center"/>
              <w:rPr>
                <w:rFonts w:asciiTheme="majorHAnsi" w:hAnsiTheme="majorHAnsi"/>
              </w:rPr>
            </w:pPr>
            <w:r w:rsidRPr="00223856">
              <w:rPr>
                <w:rFonts w:asciiTheme="majorHAnsi" w:hAnsiTheme="majorHAnsi"/>
              </w:rPr>
              <w:t>1000</w:t>
            </w:r>
          </w:p>
        </w:tc>
      </w:tr>
      <w:tr w:rsidR="00C20587" w:rsidRPr="00223856" w14:paraId="4D4A57E5" w14:textId="77777777" w:rsidTr="00FB25B3">
        <w:tc>
          <w:tcPr>
            <w:tcW w:w="1663" w:type="dxa"/>
          </w:tcPr>
          <w:p w14:paraId="69985F64" w14:textId="77777777" w:rsidR="00FB25B3" w:rsidRPr="00223856" w:rsidRDefault="00FB25B3" w:rsidP="00C20587">
            <w:pPr>
              <w:jc w:val="center"/>
              <w:rPr>
                <w:rFonts w:asciiTheme="majorHAnsi" w:hAnsiTheme="majorHAnsi"/>
              </w:rPr>
            </w:pPr>
            <w:r w:rsidRPr="00223856">
              <w:rPr>
                <w:rFonts w:asciiTheme="majorHAnsi" w:hAnsiTheme="majorHAnsi"/>
              </w:rPr>
              <w:t>Middle class</w:t>
            </w:r>
          </w:p>
        </w:tc>
        <w:tc>
          <w:tcPr>
            <w:tcW w:w="1487" w:type="dxa"/>
          </w:tcPr>
          <w:p w14:paraId="159068C1" w14:textId="77777777" w:rsidR="00FB25B3" w:rsidRPr="00223856" w:rsidRDefault="00FB25B3" w:rsidP="00C20587">
            <w:pPr>
              <w:jc w:val="center"/>
              <w:rPr>
                <w:rFonts w:asciiTheme="majorHAnsi" w:hAnsiTheme="majorHAnsi"/>
              </w:rPr>
            </w:pPr>
            <w:r w:rsidRPr="00223856">
              <w:rPr>
                <w:rFonts w:asciiTheme="majorHAnsi" w:hAnsiTheme="majorHAnsi"/>
              </w:rPr>
              <w:t>40%</w:t>
            </w:r>
          </w:p>
        </w:tc>
        <w:tc>
          <w:tcPr>
            <w:tcW w:w="1800" w:type="dxa"/>
          </w:tcPr>
          <w:p w14:paraId="600F7D64" w14:textId="77777777" w:rsidR="00FB25B3" w:rsidRPr="00223856" w:rsidRDefault="00FB25B3" w:rsidP="00C20587">
            <w:pPr>
              <w:jc w:val="center"/>
              <w:rPr>
                <w:rFonts w:asciiTheme="majorHAnsi" w:hAnsiTheme="majorHAnsi"/>
              </w:rPr>
            </w:pPr>
            <w:r w:rsidRPr="00223856">
              <w:rPr>
                <w:rFonts w:asciiTheme="majorHAnsi" w:hAnsiTheme="majorHAnsi"/>
              </w:rPr>
              <w:t>400</w:t>
            </w:r>
          </w:p>
        </w:tc>
      </w:tr>
      <w:tr w:rsidR="00C20587" w:rsidRPr="00223856" w14:paraId="2791CDB9" w14:textId="77777777" w:rsidTr="00FB25B3">
        <w:tc>
          <w:tcPr>
            <w:tcW w:w="1663" w:type="dxa"/>
          </w:tcPr>
          <w:p w14:paraId="381ABB9E" w14:textId="77777777" w:rsidR="00FB25B3" w:rsidRPr="00223856" w:rsidRDefault="00FB25B3" w:rsidP="00C20587">
            <w:pPr>
              <w:jc w:val="center"/>
              <w:rPr>
                <w:rFonts w:asciiTheme="majorHAnsi" w:hAnsiTheme="majorHAnsi"/>
              </w:rPr>
            </w:pPr>
            <w:r w:rsidRPr="00223856">
              <w:rPr>
                <w:rFonts w:asciiTheme="majorHAnsi" w:hAnsiTheme="majorHAnsi"/>
              </w:rPr>
              <w:t>Poor</w:t>
            </w:r>
          </w:p>
        </w:tc>
        <w:tc>
          <w:tcPr>
            <w:tcW w:w="1487" w:type="dxa"/>
          </w:tcPr>
          <w:p w14:paraId="749C648D" w14:textId="77777777" w:rsidR="00FB25B3" w:rsidRPr="00223856" w:rsidRDefault="00FB25B3" w:rsidP="00C20587">
            <w:pPr>
              <w:jc w:val="center"/>
              <w:rPr>
                <w:rFonts w:asciiTheme="majorHAnsi" w:hAnsiTheme="majorHAnsi"/>
              </w:rPr>
            </w:pPr>
            <w:r w:rsidRPr="00223856">
              <w:rPr>
                <w:rFonts w:asciiTheme="majorHAnsi" w:hAnsiTheme="majorHAnsi"/>
              </w:rPr>
              <w:t>40%</w:t>
            </w:r>
          </w:p>
        </w:tc>
        <w:tc>
          <w:tcPr>
            <w:tcW w:w="1800" w:type="dxa"/>
          </w:tcPr>
          <w:p w14:paraId="2ECA725B" w14:textId="77777777" w:rsidR="00FB25B3" w:rsidRPr="00223856" w:rsidRDefault="00FB25B3" w:rsidP="00C20587">
            <w:pPr>
              <w:jc w:val="center"/>
              <w:rPr>
                <w:rFonts w:asciiTheme="majorHAnsi" w:hAnsiTheme="majorHAnsi"/>
              </w:rPr>
            </w:pPr>
            <w:r w:rsidRPr="00223856">
              <w:rPr>
                <w:rFonts w:asciiTheme="majorHAnsi" w:hAnsiTheme="majorHAnsi"/>
              </w:rPr>
              <w:t>100</w:t>
            </w:r>
          </w:p>
        </w:tc>
      </w:tr>
    </w:tbl>
    <w:p w14:paraId="1F8E02AF" w14:textId="77777777" w:rsidR="00FB25B3" w:rsidRPr="00223856" w:rsidRDefault="00FB25B3" w:rsidP="00C20587">
      <w:pPr>
        <w:jc w:val="center"/>
        <w:rPr>
          <w:rFonts w:asciiTheme="majorHAnsi" w:hAnsiTheme="majorHAnsi"/>
        </w:rPr>
      </w:pPr>
    </w:p>
    <w:p w14:paraId="2609AA33" w14:textId="77777777" w:rsidR="00E31836" w:rsidRDefault="008E1C8C" w:rsidP="00E31836">
      <w:pPr>
        <w:ind w:firstLine="720"/>
        <w:rPr>
          <w:rFonts w:asciiTheme="majorHAnsi" w:hAnsiTheme="majorHAnsi"/>
        </w:rPr>
      </w:pPr>
      <w:r w:rsidRPr="00223856">
        <w:rPr>
          <w:rFonts w:asciiTheme="majorHAnsi" w:hAnsiTheme="majorHAnsi"/>
        </w:rPr>
        <w:lastRenderedPageBreak/>
        <w:t xml:space="preserve">A social policy </w:t>
      </w:r>
      <w:r w:rsidR="00FB25B3" w:rsidRPr="00223856">
        <w:rPr>
          <w:rFonts w:asciiTheme="majorHAnsi" w:hAnsiTheme="majorHAnsi"/>
        </w:rPr>
        <w:t>is</w:t>
      </w:r>
      <w:r w:rsidRPr="00223856">
        <w:rPr>
          <w:rFonts w:asciiTheme="majorHAnsi" w:hAnsiTheme="majorHAnsi"/>
        </w:rPr>
        <w:t xml:space="preserve"> enacted</w:t>
      </w:r>
      <w:r w:rsidR="00FB25B3" w:rsidRPr="00223856">
        <w:rPr>
          <w:rFonts w:asciiTheme="majorHAnsi" w:hAnsiTheme="majorHAnsi"/>
        </w:rPr>
        <w:t>,</w:t>
      </w:r>
      <w:r w:rsidRPr="00223856">
        <w:rPr>
          <w:rFonts w:asciiTheme="majorHAnsi" w:hAnsiTheme="majorHAnsi"/>
        </w:rPr>
        <w:t xml:space="preserve"> which provides equal access. The benefit of the policy depends on income: each consumer’s direct benefit from the policy equals 10% of its base income. (For example, the policy might be a social insurance plan that pays benefits proportional to income.) The cost of the policy is divided equally across all consumers. (For example, the cost of the insurance benefit is bundled into the price of a product that everyone buys).</w:t>
      </w:r>
    </w:p>
    <w:p w14:paraId="5BD329F6" w14:textId="77777777" w:rsidR="00E31836" w:rsidRDefault="00E31836" w:rsidP="00E31836">
      <w:pPr>
        <w:ind w:firstLine="720"/>
        <w:rPr>
          <w:rFonts w:asciiTheme="majorHAnsi" w:hAnsiTheme="majorHAnsi"/>
        </w:rPr>
      </w:pPr>
    </w:p>
    <w:p w14:paraId="4EFDAE7D" w14:textId="77777777" w:rsidR="00FB25B3" w:rsidRPr="00223856" w:rsidRDefault="008E1C8C" w:rsidP="00E31836">
      <w:pPr>
        <w:ind w:firstLine="720"/>
        <w:rPr>
          <w:rFonts w:asciiTheme="majorHAnsi" w:hAnsiTheme="majorHAnsi"/>
        </w:rPr>
      </w:pPr>
      <w:r w:rsidRPr="00223856">
        <w:rPr>
          <w:rFonts w:asciiTheme="majorHAnsi" w:hAnsiTheme="majorHAnsi"/>
        </w:rPr>
        <w:t>In this scenario, each rich consumer enjoys a benefit of 100 from the policy</w:t>
      </w:r>
      <w:r w:rsidR="00FB25B3" w:rsidRPr="00223856">
        <w:rPr>
          <w:rFonts w:asciiTheme="majorHAnsi" w:hAnsiTheme="majorHAnsi"/>
        </w:rPr>
        <w:t xml:space="preserve"> (10% of 1000)</w:t>
      </w:r>
      <w:r w:rsidRPr="00223856">
        <w:rPr>
          <w:rFonts w:asciiTheme="majorHAnsi" w:hAnsiTheme="majorHAnsi"/>
        </w:rPr>
        <w:t xml:space="preserve">; each middle class consumer enjoys a benefit of 40; and each poor consumer enjoys a benefit of 10. </w:t>
      </w:r>
      <w:r w:rsidR="00963345" w:rsidRPr="00223856">
        <w:rPr>
          <w:rFonts w:asciiTheme="majorHAnsi" w:hAnsiTheme="majorHAnsi"/>
        </w:rPr>
        <w:t xml:space="preserve">The total </w:t>
      </w:r>
      <w:r w:rsidR="00FB25B3" w:rsidRPr="00223856">
        <w:rPr>
          <w:rFonts w:asciiTheme="majorHAnsi" w:hAnsiTheme="majorHAnsi"/>
        </w:rPr>
        <w:t>benefits to the citizenry under the policy is</w:t>
      </w:r>
      <w:r w:rsidR="00963345" w:rsidRPr="00223856">
        <w:rPr>
          <w:rFonts w:asciiTheme="majorHAnsi" w:hAnsiTheme="majorHAnsi"/>
        </w:rPr>
        <w:t xml:space="preserve"> </w:t>
      </w:r>
    </w:p>
    <w:p w14:paraId="751BCF5E" w14:textId="77777777" w:rsidR="00E31836" w:rsidRDefault="00E31836" w:rsidP="00E31836">
      <w:pPr>
        <w:rPr>
          <w:rFonts w:asciiTheme="majorHAnsi" w:hAnsiTheme="majorHAnsi"/>
        </w:rPr>
      </w:pPr>
    </w:p>
    <w:p w14:paraId="46EF40CF" w14:textId="77777777" w:rsidR="008E1C8C" w:rsidRPr="00223856" w:rsidRDefault="00C2160F" w:rsidP="00E31836">
      <w:pPr>
        <w:ind w:firstLine="720"/>
        <w:rPr>
          <w:rFonts w:asciiTheme="majorHAnsi" w:hAnsiTheme="majorHAnsi"/>
        </w:rPr>
      </w:pPr>
      <w:r w:rsidRPr="00223856">
        <w:rPr>
          <w:rFonts w:asciiTheme="majorHAnsi" w:hAnsiTheme="majorHAnsi"/>
        </w:rPr>
        <w:t>2</w:t>
      </w:r>
      <w:r w:rsidR="008E1C8C" w:rsidRPr="00223856">
        <w:rPr>
          <w:rFonts w:asciiTheme="majorHAnsi" w:hAnsiTheme="majorHAnsi"/>
        </w:rPr>
        <w:t>0×</w:t>
      </w:r>
      <w:r w:rsidRPr="00223856">
        <w:rPr>
          <w:rFonts w:asciiTheme="majorHAnsi" w:hAnsiTheme="majorHAnsi"/>
        </w:rPr>
        <w:t>100 +</w:t>
      </w:r>
      <w:r w:rsidR="00FB25B3" w:rsidRPr="00223856">
        <w:rPr>
          <w:rFonts w:asciiTheme="majorHAnsi" w:hAnsiTheme="majorHAnsi"/>
        </w:rPr>
        <w:t xml:space="preserve"> </w:t>
      </w:r>
      <w:r w:rsidRPr="00223856">
        <w:rPr>
          <w:rFonts w:asciiTheme="majorHAnsi" w:hAnsiTheme="majorHAnsi"/>
        </w:rPr>
        <w:t>4</w:t>
      </w:r>
      <w:r w:rsidR="008E1C8C" w:rsidRPr="00223856">
        <w:rPr>
          <w:rFonts w:asciiTheme="majorHAnsi" w:hAnsiTheme="majorHAnsi"/>
        </w:rPr>
        <w:t xml:space="preserve">0×40 + </w:t>
      </w:r>
      <w:r w:rsidRPr="00223856">
        <w:rPr>
          <w:rFonts w:asciiTheme="majorHAnsi" w:hAnsiTheme="majorHAnsi"/>
        </w:rPr>
        <w:t>4</w:t>
      </w:r>
      <w:r w:rsidR="008E1C8C" w:rsidRPr="00223856">
        <w:rPr>
          <w:rFonts w:asciiTheme="majorHAnsi" w:hAnsiTheme="majorHAnsi"/>
        </w:rPr>
        <w:t>0×10 =</w:t>
      </w:r>
      <w:r w:rsidRPr="00223856">
        <w:rPr>
          <w:rFonts w:asciiTheme="majorHAnsi" w:hAnsiTheme="majorHAnsi"/>
        </w:rPr>
        <w:t xml:space="preserve"> 4000</w:t>
      </w:r>
      <w:r w:rsidR="00963345" w:rsidRPr="00223856">
        <w:rPr>
          <w:rFonts w:asciiTheme="majorHAnsi" w:hAnsiTheme="majorHAnsi"/>
        </w:rPr>
        <w:t>.</w:t>
      </w:r>
    </w:p>
    <w:p w14:paraId="6396222F" w14:textId="77777777" w:rsidR="00963345" w:rsidRPr="00223856" w:rsidRDefault="00963345" w:rsidP="00BC7B73">
      <w:pPr>
        <w:rPr>
          <w:rFonts w:asciiTheme="majorHAnsi" w:hAnsiTheme="majorHAnsi"/>
        </w:rPr>
      </w:pPr>
    </w:p>
    <w:p w14:paraId="11AA4EE0" w14:textId="77777777" w:rsidR="00963345" w:rsidRPr="00223856" w:rsidRDefault="00963345" w:rsidP="00E31836">
      <w:pPr>
        <w:ind w:firstLine="720"/>
        <w:rPr>
          <w:rFonts w:asciiTheme="majorHAnsi" w:hAnsiTheme="majorHAnsi"/>
        </w:rPr>
      </w:pPr>
      <w:r w:rsidRPr="00223856">
        <w:rPr>
          <w:rFonts w:asciiTheme="majorHAnsi" w:hAnsiTheme="majorHAnsi"/>
        </w:rPr>
        <w:t>Since the</w:t>
      </w:r>
      <w:r w:rsidR="00FB25B3" w:rsidRPr="00223856">
        <w:rPr>
          <w:rFonts w:asciiTheme="majorHAnsi" w:hAnsiTheme="majorHAnsi"/>
        </w:rPr>
        <w:t xml:space="preserve"> benefits of the policy have to be paid for, </w:t>
      </w:r>
      <w:proofErr w:type="gramStart"/>
      <w:r w:rsidR="00FB25B3" w:rsidRPr="00223856">
        <w:rPr>
          <w:rFonts w:asciiTheme="majorHAnsi" w:hAnsiTheme="majorHAnsi"/>
        </w:rPr>
        <w:t>a total</w:t>
      </w:r>
      <w:proofErr w:type="gramEnd"/>
      <w:r w:rsidR="00FB25B3" w:rsidRPr="00223856">
        <w:rPr>
          <w:rFonts w:asciiTheme="majorHAnsi" w:hAnsiTheme="majorHAnsi"/>
        </w:rPr>
        <w:t xml:space="preserve"> revenue of 4000 has to raised from all consumers. And, if as assumed, the</w:t>
      </w:r>
      <w:r w:rsidRPr="00223856">
        <w:rPr>
          <w:rFonts w:asciiTheme="majorHAnsi" w:hAnsiTheme="majorHAnsi"/>
        </w:rPr>
        <w:t xml:space="preserve"> cost of the policy is divided equally across all consumers, </w:t>
      </w:r>
      <w:r w:rsidR="00FB25B3" w:rsidRPr="00223856">
        <w:rPr>
          <w:rFonts w:asciiTheme="majorHAnsi" w:hAnsiTheme="majorHAnsi"/>
        </w:rPr>
        <w:t xml:space="preserve">then </w:t>
      </w:r>
      <w:r w:rsidRPr="00223856">
        <w:rPr>
          <w:rFonts w:asciiTheme="majorHAnsi" w:hAnsiTheme="majorHAnsi"/>
        </w:rPr>
        <w:t>each pays 40</w:t>
      </w:r>
      <w:r w:rsidR="00FB25B3" w:rsidRPr="00223856">
        <w:rPr>
          <w:rFonts w:asciiTheme="majorHAnsi" w:hAnsiTheme="majorHAnsi"/>
        </w:rPr>
        <w:t xml:space="preserve"> (</w:t>
      </w:r>
      <w:r w:rsidRPr="00223856">
        <w:rPr>
          <w:rFonts w:asciiTheme="majorHAnsi" w:hAnsiTheme="majorHAnsi"/>
        </w:rPr>
        <w:t>for a total revenue of 100×40 = 4000, equal to the cost of the program).</w:t>
      </w:r>
    </w:p>
    <w:p w14:paraId="4DA0AD22" w14:textId="77777777" w:rsidR="00963345" w:rsidRPr="00223856" w:rsidRDefault="00963345" w:rsidP="00BC7B73">
      <w:pPr>
        <w:rPr>
          <w:rFonts w:asciiTheme="majorHAnsi" w:hAnsiTheme="majorHAnsi"/>
        </w:rPr>
      </w:pPr>
    </w:p>
    <w:p w14:paraId="281ECF50" w14:textId="77777777" w:rsidR="00963345" w:rsidRPr="00223856" w:rsidRDefault="00963345" w:rsidP="00BC7B73">
      <w:pPr>
        <w:rPr>
          <w:rFonts w:asciiTheme="majorHAnsi" w:hAnsiTheme="majorHAnsi"/>
        </w:rPr>
      </w:pPr>
      <w:r w:rsidRPr="00223856">
        <w:rPr>
          <w:rFonts w:asciiTheme="majorHAnsi" w:hAnsiTheme="majorHAnsi"/>
        </w:rPr>
        <w:t xml:space="preserve">As a result, the net income for consumers, </w:t>
      </w:r>
      <w:r w:rsidR="00FB25B3" w:rsidRPr="00223856">
        <w:rPr>
          <w:rFonts w:asciiTheme="majorHAnsi" w:hAnsiTheme="majorHAnsi"/>
        </w:rPr>
        <w:t xml:space="preserve">which includes their base income, plus </w:t>
      </w:r>
      <w:r w:rsidRPr="00223856">
        <w:rPr>
          <w:rFonts w:asciiTheme="majorHAnsi" w:hAnsiTheme="majorHAnsi"/>
        </w:rPr>
        <w:t>the benefit from the program</w:t>
      </w:r>
      <w:r w:rsidR="00FB25B3" w:rsidRPr="00223856">
        <w:rPr>
          <w:rFonts w:asciiTheme="majorHAnsi" w:hAnsiTheme="majorHAnsi"/>
        </w:rPr>
        <w:t>, net of</w:t>
      </w:r>
      <w:r w:rsidRPr="00223856">
        <w:rPr>
          <w:rFonts w:asciiTheme="majorHAnsi" w:hAnsiTheme="majorHAnsi"/>
        </w:rPr>
        <w:t xml:space="preserve"> the cost charged, is the following: </w:t>
      </w:r>
    </w:p>
    <w:p w14:paraId="4104015C" w14:textId="77777777" w:rsidR="00FB25B3" w:rsidRPr="00223856" w:rsidRDefault="00FB25B3" w:rsidP="00BC7B73">
      <w:pPr>
        <w:rPr>
          <w:rFonts w:asciiTheme="majorHAnsi" w:hAnsiTheme="majorHAnsi"/>
        </w:rPr>
      </w:pPr>
    </w:p>
    <w:p w14:paraId="51B50355" w14:textId="77777777" w:rsidR="00963345" w:rsidRPr="00223856" w:rsidRDefault="00963345" w:rsidP="00BC7B73">
      <w:pPr>
        <w:rPr>
          <w:rFonts w:asciiTheme="majorHAnsi" w:hAnsiTheme="majorHAnsi"/>
        </w:rPr>
      </w:pPr>
      <w:r w:rsidRPr="00223856">
        <w:rPr>
          <w:rFonts w:asciiTheme="majorHAnsi" w:hAnsiTheme="majorHAnsi"/>
        </w:rPr>
        <w:tab/>
        <w:t xml:space="preserve">Rich: </w:t>
      </w:r>
      <w:r w:rsidRPr="00223856">
        <w:rPr>
          <w:rFonts w:asciiTheme="majorHAnsi" w:hAnsiTheme="majorHAnsi"/>
        </w:rPr>
        <w:tab/>
      </w:r>
      <w:r w:rsidRPr="00223856">
        <w:rPr>
          <w:rFonts w:asciiTheme="majorHAnsi" w:hAnsiTheme="majorHAnsi"/>
        </w:rPr>
        <w:tab/>
        <w:t>1000 +100 – 40 = 1060</w:t>
      </w:r>
    </w:p>
    <w:p w14:paraId="284DB6B6" w14:textId="77777777" w:rsidR="00963345" w:rsidRPr="00223856" w:rsidRDefault="00963345" w:rsidP="00BC7B73">
      <w:pPr>
        <w:rPr>
          <w:rFonts w:asciiTheme="majorHAnsi" w:hAnsiTheme="majorHAnsi"/>
        </w:rPr>
      </w:pPr>
      <w:r w:rsidRPr="00223856">
        <w:rPr>
          <w:rFonts w:asciiTheme="majorHAnsi" w:hAnsiTheme="majorHAnsi"/>
        </w:rPr>
        <w:tab/>
        <w:t xml:space="preserve">Middle class: </w:t>
      </w:r>
      <w:r w:rsidRPr="00223856">
        <w:rPr>
          <w:rFonts w:asciiTheme="majorHAnsi" w:hAnsiTheme="majorHAnsi"/>
        </w:rPr>
        <w:tab/>
        <w:t>400 + 40 – 40 = 400</w:t>
      </w:r>
    </w:p>
    <w:p w14:paraId="48672DFF" w14:textId="77777777" w:rsidR="00963345" w:rsidRPr="00223856" w:rsidRDefault="00963345" w:rsidP="00BC7B73">
      <w:pPr>
        <w:rPr>
          <w:rFonts w:asciiTheme="majorHAnsi" w:hAnsiTheme="majorHAnsi"/>
        </w:rPr>
      </w:pPr>
      <w:r w:rsidRPr="00223856">
        <w:rPr>
          <w:rFonts w:asciiTheme="majorHAnsi" w:hAnsiTheme="majorHAnsi"/>
        </w:rPr>
        <w:tab/>
        <w:t xml:space="preserve">Poor: </w:t>
      </w:r>
      <w:r w:rsidRPr="00223856">
        <w:rPr>
          <w:rFonts w:asciiTheme="majorHAnsi" w:hAnsiTheme="majorHAnsi"/>
        </w:rPr>
        <w:tab/>
      </w:r>
      <w:r w:rsidRPr="00223856">
        <w:rPr>
          <w:rFonts w:asciiTheme="majorHAnsi" w:hAnsiTheme="majorHAnsi"/>
        </w:rPr>
        <w:tab/>
        <w:t>100 + 10 – 40 = 70</w:t>
      </w:r>
    </w:p>
    <w:p w14:paraId="395C6D39" w14:textId="77777777" w:rsidR="009214F4" w:rsidRPr="00223856" w:rsidRDefault="009214F4" w:rsidP="00BC7B73">
      <w:pPr>
        <w:rPr>
          <w:rFonts w:asciiTheme="majorHAnsi" w:hAnsiTheme="majorHAnsi"/>
        </w:rPr>
      </w:pPr>
    </w:p>
    <w:p w14:paraId="29D6F887" w14:textId="77777777" w:rsidR="00963345" w:rsidRPr="00223856" w:rsidRDefault="00963345" w:rsidP="00BC7B73">
      <w:pPr>
        <w:rPr>
          <w:rFonts w:asciiTheme="majorHAnsi" w:hAnsiTheme="majorHAnsi"/>
        </w:rPr>
      </w:pPr>
      <w:r w:rsidRPr="00223856">
        <w:rPr>
          <w:rFonts w:asciiTheme="majorHAnsi" w:hAnsiTheme="majorHAnsi"/>
        </w:rPr>
        <w:t>The following table summarizes this</w:t>
      </w:r>
      <w:r w:rsidR="00481337" w:rsidRPr="00223856">
        <w:rPr>
          <w:rFonts w:asciiTheme="majorHAnsi" w:hAnsiTheme="majorHAnsi"/>
        </w:rPr>
        <w:t xml:space="preserve"> synthetic</w:t>
      </w:r>
      <w:r w:rsidRPr="00223856">
        <w:rPr>
          <w:rFonts w:asciiTheme="majorHAnsi" w:hAnsiTheme="majorHAnsi"/>
        </w:rPr>
        <w:t xml:space="preserve"> example:</w:t>
      </w:r>
    </w:p>
    <w:p w14:paraId="37091E32" w14:textId="77777777" w:rsidR="00963345" w:rsidRPr="00223856" w:rsidRDefault="00963345" w:rsidP="00BC7B73">
      <w:pPr>
        <w:rPr>
          <w:rFonts w:asciiTheme="majorHAnsi" w:hAnsiTheme="majorHAnsi"/>
        </w:rPr>
      </w:pPr>
    </w:p>
    <w:tbl>
      <w:tblPr>
        <w:tblStyle w:val="TableGrid"/>
        <w:tblW w:w="0" w:type="auto"/>
        <w:tblInd w:w="108" w:type="dxa"/>
        <w:tblLook w:val="04A0" w:firstRow="1" w:lastRow="0" w:firstColumn="1" w:lastColumn="0" w:noHBand="0" w:noVBand="1"/>
      </w:tblPr>
      <w:tblGrid>
        <w:gridCol w:w="1663"/>
        <w:gridCol w:w="1487"/>
        <w:gridCol w:w="1800"/>
        <w:gridCol w:w="2026"/>
        <w:gridCol w:w="1664"/>
      </w:tblGrid>
      <w:tr w:rsidR="009214F4" w:rsidRPr="00223856" w14:paraId="642B0C89" w14:textId="77777777" w:rsidTr="00963345">
        <w:tc>
          <w:tcPr>
            <w:tcW w:w="1663" w:type="dxa"/>
          </w:tcPr>
          <w:p w14:paraId="73D8451E" w14:textId="77777777" w:rsidR="009214F4" w:rsidRPr="00223856" w:rsidRDefault="009214F4" w:rsidP="00963345">
            <w:pPr>
              <w:jc w:val="center"/>
              <w:rPr>
                <w:rFonts w:asciiTheme="majorHAnsi" w:hAnsiTheme="majorHAnsi"/>
              </w:rPr>
            </w:pPr>
            <w:r w:rsidRPr="00223856">
              <w:rPr>
                <w:rFonts w:asciiTheme="majorHAnsi" w:hAnsiTheme="majorHAnsi"/>
              </w:rPr>
              <w:t>Consumer type</w:t>
            </w:r>
          </w:p>
        </w:tc>
        <w:tc>
          <w:tcPr>
            <w:tcW w:w="1487" w:type="dxa"/>
          </w:tcPr>
          <w:p w14:paraId="4AE091C0" w14:textId="77777777" w:rsidR="009214F4" w:rsidRPr="00223856" w:rsidRDefault="009214F4" w:rsidP="00963345">
            <w:pPr>
              <w:jc w:val="center"/>
              <w:rPr>
                <w:rFonts w:asciiTheme="majorHAnsi" w:hAnsiTheme="majorHAnsi"/>
              </w:rPr>
            </w:pPr>
            <w:r w:rsidRPr="00223856">
              <w:rPr>
                <w:rFonts w:asciiTheme="majorHAnsi" w:hAnsiTheme="majorHAnsi"/>
              </w:rPr>
              <w:t>Frequency</w:t>
            </w:r>
          </w:p>
        </w:tc>
        <w:tc>
          <w:tcPr>
            <w:tcW w:w="1800" w:type="dxa"/>
          </w:tcPr>
          <w:p w14:paraId="24444459" w14:textId="77777777" w:rsidR="009214F4" w:rsidRPr="00223856" w:rsidRDefault="008E1C8C" w:rsidP="00963345">
            <w:pPr>
              <w:jc w:val="center"/>
              <w:rPr>
                <w:rFonts w:asciiTheme="majorHAnsi" w:hAnsiTheme="majorHAnsi"/>
              </w:rPr>
            </w:pPr>
            <w:r w:rsidRPr="00223856">
              <w:rPr>
                <w:rFonts w:asciiTheme="majorHAnsi" w:hAnsiTheme="majorHAnsi"/>
              </w:rPr>
              <w:t>Base I</w:t>
            </w:r>
            <w:r w:rsidR="009214F4" w:rsidRPr="00223856">
              <w:rPr>
                <w:rFonts w:asciiTheme="majorHAnsi" w:hAnsiTheme="majorHAnsi"/>
              </w:rPr>
              <w:t>ncome</w:t>
            </w:r>
            <w:r w:rsidR="00C2160F" w:rsidRPr="00223856">
              <w:rPr>
                <w:rFonts w:asciiTheme="majorHAnsi" w:hAnsiTheme="majorHAnsi"/>
              </w:rPr>
              <w:t xml:space="preserve"> per consumer</w:t>
            </w:r>
          </w:p>
        </w:tc>
        <w:tc>
          <w:tcPr>
            <w:tcW w:w="2026" w:type="dxa"/>
          </w:tcPr>
          <w:p w14:paraId="69FEDCC0" w14:textId="77777777" w:rsidR="00963345" w:rsidRPr="00223856" w:rsidRDefault="00481337" w:rsidP="00963345">
            <w:pPr>
              <w:jc w:val="center"/>
              <w:rPr>
                <w:rFonts w:asciiTheme="majorHAnsi" w:hAnsiTheme="majorHAnsi"/>
              </w:rPr>
            </w:pPr>
            <w:r w:rsidRPr="00223856">
              <w:rPr>
                <w:rFonts w:asciiTheme="majorHAnsi" w:hAnsiTheme="majorHAnsi"/>
              </w:rPr>
              <w:t xml:space="preserve">Combined </w:t>
            </w:r>
            <w:r w:rsidR="009214F4" w:rsidRPr="00223856">
              <w:rPr>
                <w:rFonts w:asciiTheme="majorHAnsi" w:hAnsiTheme="majorHAnsi"/>
              </w:rPr>
              <w:t xml:space="preserve">Benefit from program </w:t>
            </w:r>
          </w:p>
          <w:p w14:paraId="7167AA75" w14:textId="77777777" w:rsidR="009214F4" w:rsidRPr="00223856" w:rsidRDefault="009214F4" w:rsidP="00963345">
            <w:pPr>
              <w:jc w:val="center"/>
              <w:rPr>
                <w:rFonts w:asciiTheme="majorHAnsi" w:hAnsiTheme="majorHAnsi"/>
              </w:rPr>
            </w:pPr>
            <w:r w:rsidRPr="00223856">
              <w:rPr>
                <w:rFonts w:asciiTheme="majorHAnsi" w:hAnsiTheme="majorHAnsi"/>
              </w:rPr>
              <w:t>(10% of income)</w:t>
            </w:r>
          </w:p>
        </w:tc>
        <w:tc>
          <w:tcPr>
            <w:tcW w:w="1664" w:type="dxa"/>
          </w:tcPr>
          <w:p w14:paraId="31033C3F" w14:textId="77777777" w:rsidR="00C2160F" w:rsidRPr="00223856" w:rsidRDefault="008E1C8C" w:rsidP="00481337">
            <w:pPr>
              <w:jc w:val="center"/>
              <w:rPr>
                <w:rFonts w:asciiTheme="majorHAnsi" w:hAnsiTheme="majorHAnsi"/>
              </w:rPr>
            </w:pPr>
            <w:r w:rsidRPr="00223856">
              <w:rPr>
                <w:rFonts w:asciiTheme="majorHAnsi" w:hAnsiTheme="majorHAnsi"/>
              </w:rPr>
              <w:t>Net Income</w:t>
            </w:r>
            <w:r w:rsidR="00481337" w:rsidRPr="00223856">
              <w:rPr>
                <w:rFonts w:asciiTheme="majorHAnsi" w:hAnsiTheme="majorHAnsi"/>
              </w:rPr>
              <w:t xml:space="preserve"> </w:t>
            </w:r>
            <w:r w:rsidR="00C2160F" w:rsidRPr="00223856">
              <w:rPr>
                <w:rFonts w:asciiTheme="majorHAnsi" w:hAnsiTheme="majorHAnsi"/>
              </w:rPr>
              <w:t>per consumer</w:t>
            </w:r>
          </w:p>
        </w:tc>
      </w:tr>
      <w:tr w:rsidR="009214F4" w:rsidRPr="00223856" w14:paraId="1A1B4B68" w14:textId="77777777" w:rsidTr="00963345">
        <w:tc>
          <w:tcPr>
            <w:tcW w:w="1663" w:type="dxa"/>
          </w:tcPr>
          <w:p w14:paraId="628CC0D4" w14:textId="77777777" w:rsidR="009214F4" w:rsidRPr="00223856" w:rsidRDefault="009214F4" w:rsidP="00963345">
            <w:pPr>
              <w:jc w:val="center"/>
              <w:rPr>
                <w:rFonts w:asciiTheme="majorHAnsi" w:hAnsiTheme="majorHAnsi"/>
              </w:rPr>
            </w:pPr>
            <w:r w:rsidRPr="00223856">
              <w:rPr>
                <w:rFonts w:asciiTheme="majorHAnsi" w:hAnsiTheme="majorHAnsi"/>
              </w:rPr>
              <w:t>Wealthy</w:t>
            </w:r>
          </w:p>
        </w:tc>
        <w:tc>
          <w:tcPr>
            <w:tcW w:w="1487" w:type="dxa"/>
          </w:tcPr>
          <w:p w14:paraId="4CCE75C8" w14:textId="77777777" w:rsidR="009214F4" w:rsidRPr="00223856" w:rsidRDefault="00C2160F" w:rsidP="00963345">
            <w:pPr>
              <w:jc w:val="center"/>
              <w:rPr>
                <w:rFonts w:asciiTheme="majorHAnsi" w:hAnsiTheme="majorHAnsi"/>
              </w:rPr>
            </w:pPr>
            <w:r w:rsidRPr="00223856">
              <w:rPr>
                <w:rFonts w:asciiTheme="majorHAnsi" w:hAnsiTheme="majorHAnsi"/>
              </w:rPr>
              <w:t>2</w:t>
            </w:r>
            <w:r w:rsidR="009214F4" w:rsidRPr="00223856">
              <w:rPr>
                <w:rFonts w:asciiTheme="majorHAnsi" w:hAnsiTheme="majorHAnsi"/>
              </w:rPr>
              <w:t>0</w:t>
            </w:r>
            <w:r w:rsidR="00481337" w:rsidRPr="00223856">
              <w:rPr>
                <w:rFonts w:asciiTheme="majorHAnsi" w:hAnsiTheme="majorHAnsi"/>
              </w:rPr>
              <w:t>%</w:t>
            </w:r>
          </w:p>
        </w:tc>
        <w:tc>
          <w:tcPr>
            <w:tcW w:w="1800" w:type="dxa"/>
          </w:tcPr>
          <w:p w14:paraId="278961A9" w14:textId="77777777" w:rsidR="009214F4" w:rsidRPr="00223856" w:rsidRDefault="009214F4" w:rsidP="00963345">
            <w:pPr>
              <w:jc w:val="center"/>
              <w:rPr>
                <w:rFonts w:asciiTheme="majorHAnsi" w:hAnsiTheme="majorHAnsi"/>
              </w:rPr>
            </w:pPr>
            <w:r w:rsidRPr="00223856">
              <w:rPr>
                <w:rFonts w:asciiTheme="majorHAnsi" w:hAnsiTheme="majorHAnsi"/>
              </w:rPr>
              <w:t>1000</w:t>
            </w:r>
          </w:p>
        </w:tc>
        <w:tc>
          <w:tcPr>
            <w:tcW w:w="2026" w:type="dxa"/>
          </w:tcPr>
          <w:p w14:paraId="5C74485D" w14:textId="77777777" w:rsidR="009214F4" w:rsidRPr="00223856" w:rsidRDefault="00963345" w:rsidP="00963345">
            <w:pPr>
              <w:jc w:val="center"/>
              <w:rPr>
                <w:rFonts w:asciiTheme="majorHAnsi" w:hAnsiTheme="majorHAnsi"/>
              </w:rPr>
            </w:pPr>
            <w:r w:rsidRPr="00223856">
              <w:rPr>
                <w:rFonts w:asciiTheme="majorHAnsi" w:hAnsiTheme="majorHAnsi"/>
              </w:rPr>
              <w:t>2</w:t>
            </w:r>
            <w:r w:rsidR="009214F4" w:rsidRPr="00223856">
              <w:rPr>
                <w:rFonts w:asciiTheme="majorHAnsi" w:hAnsiTheme="majorHAnsi"/>
              </w:rPr>
              <w:t>0×</w:t>
            </w:r>
            <w:r w:rsidRPr="00223856">
              <w:rPr>
                <w:rFonts w:asciiTheme="majorHAnsi" w:hAnsiTheme="majorHAnsi"/>
              </w:rPr>
              <w:t>100 =2</w:t>
            </w:r>
            <w:r w:rsidR="009214F4" w:rsidRPr="00223856">
              <w:rPr>
                <w:rFonts w:asciiTheme="majorHAnsi" w:hAnsiTheme="majorHAnsi"/>
              </w:rPr>
              <w:t>000</w:t>
            </w:r>
          </w:p>
        </w:tc>
        <w:tc>
          <w:tcPr>
            <w:tcW w:w="1664" w:type="dxa"/>
          </w:tcPr>
          <w:p w14:paraId="74090BEC" w14:textId="77777777" w:rsidR="009214F4" w:rsidRPr="00223856" w:rsidRDefault="008E1C8C" w:rsidP="00963345">
            <w:pPr>
              <w:jc w:val="center"/>
              <w:rPr>
                <w:rFonts w:asciiTheme="majorHAnsi" w:hAnsiTheme="majorHAnsi"/>
              </w:rPr>
            </w:pPr>
            <w:r w:rsidRPr="00223856">
              <w:rPr>
                <w:rFonts w:asciiTheme="majorHAnsi" w:hAnsiTheme="majorHAnsi"/>
              </w:rPr>
              <w:t>106</w:t>
            </w:r>
            <w:r w:rsidR="00963345" w:rsidRPr="00223856">
              <w:rPr>
                <w:rFonts w:asciiTheme="majorHAnsi" w:hAnsiTheme="majorHAnsi"/>
              </w:rPr>
              <w:t>0</w:t>
            </w:r>
          </w:p>
        </w:tc>
      </w:tr>
      <w:tr w:rsidR="009214F4" w:rsidRPr="00223856" w14:paraId="44267A43" w14:textId="77777777" w:rsidTr="00963345">
        <w:tc>
          <w:tcPr>
            <w:tcW w:w="1663" w:type="dxa"/>
          </w:tcPr>
          <w:p w14:paraId="24289333" w14:textId="77777777" w:rsidR="009214F4" w:rsidRPr="00223856" w:rsidRDefault="009214F4" w:rsidP="00963345">
            <w:pPr>
              <w:jc w:val="center"/>
              <w:rPr>
                <w:rFonts w:asciiTheme="majorHAnsi" w:hAnsiTheme="majorHAnsi"/>
              </w:rPr>
            </w:pPr>
            <w:r w:rsidRPr="00223856">
              <w:rPr>
                <w:rFonts w:asciiTheme="majorHAnsi" w:hAnsiTheme="majorHAnsi"/>
              </w:rPr>
              <w:t>Mid</w:t>
            </w:r>
            <w:r w:rsidR="008E1C8C" w:rsidRPr="00223856">
              <w:rPr>
                <w:rFonts w:asciiTheme="majorHAnsi" w:hAnsiTheme="majorHAnsi"/>
              </w:rPr>
              <w:t>dle class</w:t>
            </w:r>
          </w:p>
        </w:tc>
        <w:tc>
          <w:tcPr>
            <w:tcW w:w="1487" w:type="dxa"/>
          </w:tcPr>
          <w:p w14:paraId="43A3CAC4" w14:textId="77777777" w:rsidR="009214F4" w:rsidRPr="00223856" w:rsidRDefault="00C2160F" w:rsidP="00963345">
            <w:pPr>
              <w:jc w:val="center"/>
              <w:rPr>
                <w:rFonts w:asciiTheme="majorHAnsi" w:hAnsiTheme="majorHAnsi"/>
              </w:rPr>
            </w:pPr>
            <w:r w:rsidRPr="00223856">
              <w:rPr>
                <w:rFonts w:asciiTheme="majorHAnsi" w:hAnsiTheme="majorHAnsi"/>
              </w:rPr>
              <w:t>4</w:t>
            </w:r>
            <w:r w:rsidR="009214F4" w:rsidRPr="00223856">
              <w:rPr>
                <w:rFonts w:asciiTheme="majorHAnsi" w:hAnsiTheme="majorHAnsi"/>
              </w:rPr>
              <w:t>0</w:t>
            </w:r>
            <w:r w:rsidR="00481337" w:rsidRPr="00223856">
              <w:rPr>
                <w:rFonts w:asciiTheme="majorHAnsi" w:hAnsiTheme="majorHAnsi"/>
              </w:rPr>
              <w:t>%</w:t>
            </w:r>
          </w:p>
        </w:tc>
        <w:tc>
          <w:tcPr>
            <w:tcW w:w="1800" w:type="dxa"/>
          </w:tcPr>
          <w:p w14:paraId="7DA6A6BA" w14:textId="77777777" w:rsidR="009214F4" w:rsidRPr="00223856" w:rsidRDefault="009214F4" w:rsidP="00963345">
            <w:pPr>
              <w:jc w:val="center"/>
              <w:rPr>
                <w:rFonts w:asciiTheme="majorHAnsi" w:hAnsiTheme="majorHAnsi"/>
              </w:rPr>
            </w:pPr>
            <w:r w:rsidRPr="00223856">
              <w:rPr>
                <w:rFonts w:asciiTheme="majorHAnsi" w:hAnsiTheme="majorHAnsi"/>
              </w:rPr>
              <w:t>400</w:t>
            </w:r>
          </w:p>
        </w:tc>
        <w:tc>
          <w:tcPr>
            <w:tcW w:w="2026" w:type="dxa"/>
          </w:tcPr>
          <w:p w14:paraId="7D57327D" w14:textId="77777777" w:rsidR="009214F4" w:rsidRPr="00223856" w:rsidRDefault="00C2160F" w:rsidP="00963345">
            <w:pPr>
              <w:jc w:val="center"/>
              <w:rPr>
                <w:rFonts w:asciiTheme="majorHAnsi" w:hAnsiTheme="majorHAnsi"/>
              </w:rPr>
            </w:pPr>
            <w:r w:rsidRPr="00223856">
              <w:rPr>
                <w:rFonts w:asciiTheme="majorHAnsi" w:hAnsiTheme="majorHAnsi"/>
              </w:rPr>
              <w:t>4</w:t>
            </w:r>
            <w:r w:rsidR="008E1C8C" w:rsidRPr="00223856">
              <w:rPr>
                <w:rFonts w:asciiTheme="majorHAnsi" w:hAnsiTheme="majorHAnsi"/>
              </w:rPr>
              <w:t>0×</w:t>
            </w:r>
            <w:r w:rsidR="00963345" w:rsidRPr="00223856">
              <w:rPr>
                <w:rFonts w:asciiTheme="majorHAnsi" w:hAnsiTheme="majorHAnsi"/>
              </w:rPr>
              <w:t>40=16</w:t>
            </w:r>
            <w:r w:rsidR="008E1C8C" w:rsidRPr="00223856">
              <w:rPr>
                <w:rFonts w:asciiTheme="majorHAnsi" w:hAnsiTheme="majorHAnsi"/>
              </w:rPr>
              <w:t>00</w:t>
            </w:r>
          </w:p>
        </w:tc>
        <w:tc>
          <w:tcPr>
            <w:tcW w:w="1664" w:type="dxa"/>
          </w:tcPr>
          <w:p w14:paraId="1538EE9B" w14:textId="77777777" w:rsidR="009214F4" w:rsidRPr="00223856" w:rsidRDefault="008E1C8C" w:rsidP="00963345">
            <w:pPr>
              <w:jc w:val="center"/>
              <w:rPr>
                <w:rFonts w:asciiTheme="majorHAnsi" w:hAnsiTheme="majorHAnsi"/>
              </w:rPr>
            </w:pPr>
            <w:r w:rsidRPr="00223856">
              <w:rPr>
                <w:rFonts w:asciiTheme="majorHAnsi" w:hAnsiTheme="majorHAnsi"/>
              </w:rPr>
              <w:t>40</w:t>
            </w:r>
            <w:r w:rsidR="00963345" w:rsidRPr="00223856">
              <w:rPr>
                <w:rFonts w:asciiTheme="majorHAnsi" w:hAnsiTheme="majorHAnsi"/>
              </w:rPr>
              <w:t>0</w:t>
            </w:r>
          </w:p>
        </w:tc>
      </w:tr>
      <w:tr w:rsidR="009214F4" w:rsidRPr="00223856" w14:paraId="44644536" w14:textId="77777777" w:rsidTr="00963345">
        <w:tc>
          <w:tcPr>
            <w:tcW w:w="1663" w:type="dxa"/>
          </w:tcPr>
          <w:p w14:paraId="132D40E6" w14:textId="77777777" w:rsidR="009214F4" w:rsidRPr="00223856" w:rsidRDefault="009214F4" w:rsidP="00963345">
            <w:pPr>
              <w:jc w:val="center"/>
              <w:rPr>
                <w:rFonts w:asciiTheme="majorHAnsi" w:hAnsiTheme="majorHAnsi"/>
              </w:rPr>
            </w:pPr>
            <w:r w:rsidRPr="00223856">
              <w:rPr>
                <w:rFonts w:asciiTheme="majorHAnsi" w:hAnsiTheme="majorHAnsi"/>
              </w:rPr>
              <w:t>Poor</w:t>
            </w:r>
          </w:p>
        </w:tc>
        <w:tc>
          <w:tcPr>
            <w:tcW w:w="1487" w:type="dxa"/>
          </w:tcPr>
          <w:p w14:paraId="4A1F61E4" w14:textId="77777777" w:rsidR="009214F4" w:rsidRPr="00223856" w:rsidRDefault="009214F4" w:rsidP="00963345">
            <w:pPr>
              <w:jc w:val="center"/>
              <w:rPr>
                <w:rFonts w:asciiTheme="majorHAnsi" w:hAnsiTheme="majorHAnsi"/>
              </w:rPr>
            </w:pPr>
            <w:r w:rsidRPr="00223856">
              <w:rPr>
                <w:rFonts w:asciiTheme="majorHAnsi" w:hAnsiTheme="majorHAnsi"/>
              </w:rPr>
              <w:t>40</w:t>
            </w:r>
            <w:r w:rsidR="00481337" w:rsidRPr="00223856">
              <w:rPr>
                <w:rFonts w:asciiTheme="majorHAnsi" w:hAnsiTheme="majorHAnsi"/>
              </w:rPr>
              <w:t>%</w:t>
            </w:r>
          </w:p>
        </w:tc>
        <w:tc>
          <w:tcPr>
            <w:tcW w:w="1800" w:type="dxa"/>
          </w:tcPr>
          <w:p w14:paraId="30FB335B" w14:textId="77777777" w:rsidR="009214F4" w:rsidRPr="00223856" w:rsidRDefault="009214F4" w:rsidP="00963345">
            <w:pPr>
              <w:jc w:val="center"/>
              <w:rPr>
                <w:rFonts w:asciiTheme="majorHAnsi" w:hAnsiTheme="majorHAnsi"/>
              </w:rPr>
            </w:pPr>
            <w:r w:rsidRPr="00223856">
              <w:rPr>
                <w:rFonts w:asciiTheme="majorHAnsi" w:hAnsiTheme="majorHAnsi"/>
              </w:rPr>
              <w:t>100</w:t>
            </w:r>
          </w:p>
        </w:tc>
        <w:tc>
          <w:tcPr>
            <w:tcW w:w="2026" w:type="dxa"/>
          </w:tcPr>
          <w:p w14:paraId="2FEE077F" w14:textId="77777777" w:rsidR="009214F4" w:rsidRPr="00223856" w:rsidRDefault="008E1C8C" w:rsidP="00963345">
            <w:pPr>
              <w:jc w:val="center"/>
              <w:rPr>
                <w:rFonts w:asciiTheme="majorHAnsi" w:hAnsiTheme="majorHAnsi"/>
              </w:rPr>
            </w:pPr>
            <w:r w:rsidRPr="00223856">
              <w:rPr>
                <w:rFonts w:asciiTheme="majorHAnsi" w:hAnsiTheme="majorHAnsi"/>
              </w:rPr>
              <w:t>40×10=400</w:t>
            </w:r>
          </w:p>
        </w:tc>
        <w:tc>
          <w:tcPr>
            <w:tcW w:w="1664" w:type="dxa"/>
          </w:tcPr>
          <w:p w14:paraId="59A25A05" w14:textId="77777777" w:rsidR="009214F4" w:rsidRPr="00223856" w:rsidRDefault="008E1C8C" w:rsidP="00963345">
            <w:pPr>
              <w:jc w:val="center"/>
              <w:rPr>
                <w:rFonts w:asciiTheme="majorHAnsi" w:hAnsiTheme="majorHAnsi"/>
              </w:rPr>
            </w:pPr>
            <w:r w:rsidRPr="00223856">
              <w:rPr>
                <w:rFonts w:asciiTheme="majorHAnsi" w:hAnsiTheme="majorHAnsi"/>
              </w:rPr>
              <w:t>7</w:t>
            </w:r>
            <w:r w:rsidR="00963345" w:rsidRPr="00223856">
              <w:rPr>
                <w:rFonts w:asciiTheme="majorHAnsi" w:hAnsiTheme="majorHAnsi"/>
              </w:rPr>
              <w:t>0</w:t>
            </w:r>
          </w:p>
        </w:tc>
      </w:tr>
    </w:tbl>
    <w:p w14:paraId="55C008D3" w14:textId="77777777" w:rsidR="00BC7B73" w:rsidRPr="00223856" w:rsidRDefault="00BC7B73" w:rsidP="00BC7B73">
      <w:pPr>
        <w:rPr>
          <w:rFonts w:asciiTheme="majorHAnsi" w:hAnsiTheme="majorHAnsi"/>
        </w:rPr>
      </w:pPr>
    </w:p>
    <w:p w14:paraId="431F692F" w14:textId="77777777" w:rsidR="00963345" w:rsidRPr="00223856" w:rsidRDefault="00963345" w:rsidP="00E31836">
      <w:pPr>
        <w:ind w:firstLine="720"/>
        <w:rPr>
          <w:rFonts w:asciiTheme="majorHAnsi" w:hAnsiTheme="majorHAnsi"/>
        </w:rPr>
      </w:pPr>
      <w:r w:rsidRPr="00223856">
        <w:rPr>
          <w:rFonts w:asciiTheme="majorHAnsi" w:hAnsiTheme="majorHAnsi"/>
        </w:rPr>
        <w:t xml:space="preserve">In this example, the program is open to all, but it is </w:t>
      </w:r>
      <w:r w:rsidR="00481337" w:rsidRPr="00223856">
        <w:rPr>
          <w:rFonts w:asciiTheme="majorHAnsi" w:hAnsiTheme="majorHAnsi"/>
        </w:rPr>
        <w:t>regressive</w:t>
      </w:r>
      <w:r w:rsidRPr="00223856">
        <w:rPr>
          <w:rFonts w:asciiTheme="majorHAnsi" w:hAnsiTheme="majorHAnsi"/>
        </w:rPr>
        <w:t xml:space="preserve"> because the benefits accrue disproportionately to the wealthy, while the poor pay an equal price. The policy effectuates a net transfer</w:t>
      </w:r>
      <w:r w:rsidR="0023791B" w:rsidRPr="00223856">
        <w:rPr>
          <w:rFonts w:asciiTheme="majorHAnsi" w:hAnsiTheme="majorHAnsi"/>
        </w:rPr>
        <w:t>—a cross-subsidy—f</w:t>
      </w:r>
      <w:r w:rsidRPr="00223856">
        <w:rPr>
          <w:rFonts w:asciiTheme="majorHAnsi" w:hAnsiTheme="majorHAnsi"/>
        </w:rPr>
        <w:t>rom the poor to the rich, whereas the middle class is overall unaffected.</w:t>
      </w:r>
    </w:p>
    <w:p w14:paraId="27130472" w14:textId="77777777" w:rsidR="00650772" w:rsidRPr="00223856" w:rsidRDefault="00650772" w:rsidP="00BC7B73">
      <w:pPr>
        <w:rPr>
          <w:rFonts w:asciiTheme="majorHAnsi" w:hAnsiTheme="majorHAnsi"/>
        </w:rPr>
      </w:pPr>
    </w:p>
    <w:p w14:paraId="1F9E511F" w14:textId="77777777" w:rsidR="00650772" w:rsidRPr="00223856" w:rsidRDefault="00650772" w:rsidP="00E31836">
      <w:pPr>
        <w:ind w:firstLine="720"/>
        <w:rPr>
          <w:rFonts w:asciiTheme="majorHAnsi" w:hAnsiTheme="majorHAnsi"/>
        </w:rPr>
      </w:pPr>
      <w:r w:rsidRPr="00223856">
        <w:rPr>
          <w:rFonts w:asciiTheme="majorHAnsi" w:hAnsiTheme="majorHAnsi"/>
        </w:rPr>
        <w:t>To be sure, many policies have effects not only on distribution, but on overall welfare as well. For example, a policy that increases overall welfare could mitigate</w:t>
      </w:r>
      <w:r w:rsidR="0023791B" w:rsidRPr="00223856">
        <w:rPr>
          <w:rFonts w:asciiTheme="majorHAnsi" w:hAnsiTheme="majorHAnsi"/>
        </w:rPr>
        <w:t xml:space="preserve"> (but not eliminate)</w:t>
      </w:r>
      <w:r w:rsidRPr="00223856">
        <w:rPr>
          <w:rFonts w:asciiTheme="majorHAnsi" w:hAnsiTheme="majorHAnsi"/>
        </w:rPr>
        <w:t xml:space="preserve"> the regressive effect if the poor enjoy some of the increased we</w:t>
      </w:r>
      <w:r w:rsidR="0023791B" w:rsidRPr="00223856">
        <w:rPr>
          <w:rFonts w:asciiTheme="majorHAnsi" w:hAnsiTheme="majorHAnsi"/>
        </w:rPr>
        <w:t xml:space="preserve">lfare. Similarly, many policies secure benefits to </w:t>
      </w:r>
      <w:r w:rsidR="00481337" w:rsidRPr="00223856">
        <w:rPr>
          <w:rFonts w:asciiTheme="majorHAnsi" w:hAnsiTheme="majorHAnsi"/>
        </w:rPr>
        <w:t>consumers</w:t>
      </w:r>
      <w:r w:rsidR="0023791B" w:rsidRPr="00223856">
        <w:rPr>
          <w:rFonts w:asciiTheme="majorHAnsi" w:hAnsiTheme="majorHAnsi"/>
        </w:rPr>
        <w:t xml:space="preserve">, at a cost that is only partially borne by </w:t>
      </w:r>
      <w:r w:rsidR="00481337" w:rsidRPr="00223856">
        <w:rPr>
          <w:rFonts w:asciiTheme="majorHAnsi" w:hAnsiTheme="majorHAnsi"/>
        </w:rPr>
        <w:t>them</w:t>
      </w:r>
      <w:r w:rsidR="0023791B" w:rsidRPr="00223856">
        <w:rPr>
          <w:rFonts w:asciiTheme="majorHAnsi" w:hAnsiTheme="majorHAnsi"/>
        </w:rPr>
        <w:t xml:space="preserve"> (and partially borne by others</w:t>
      </w:r>
      <w:r w:rsidR="00481337" w:rsidRPr="00223856">
        <w:rPr>
          <w:rFonts w:asciiTheme="majorHAnsi" w:hAnsiTheme="majorHAnsi"/>
        </w:rPr>
        <w:t>, e.g., producers</w:t>
      </w:r>
      <w:r w:rsidR="0023791B" w:rsidRPr="00223856">
        <w:rPr>
          <w:rFonts w:asciiTheme="majorHAnsi" w:hAnsiTheme="majorHAnsi"/>
        </w:rPr>
        <w:t xml:space="preserve">). Still, even if the </w:t>
      </w:r>
      <w:r w:rsidR="00481337" w:rsidRPr="00223856">
        <w:rPr>
          <w:rFonts w:asciiTheme="majorHAnsi" w:hAnsiTheme="majorHAnsi"/>
        </w:rPr>
        <w:lastRenderedPageBreak/>
        <w:t xml:space="preserve">beneficiary </w:t>
      </w:r>
      <w:r w:rsidR="0023791B" w:rsidRPr="00223856">
        <w:rPr>
          <w:rFonts w:asciiTheme="majorHAnsi" w:hAnsiTheme="majorHAnsi"/>
        </w:rPr>
        <w:t xml:space="preserve">group bears only part of the cost, the division of benefits and costs within the beneficiary </w:t>
      </w:r>
      <w:r w:rsidR="00481337" w:rsidRPr="00223856">
        <w:rPr>
          <w:rFonts w:asciiTheme="majorHAnsi" w:hAnsiTheme="majorHAnsi"/>
        </w:rPr>
        <w:t xml:space="preserve">consumer </w:t>
      </w:r>
      <w:r w:rsidR="0023791B" w:rsidRPr="00223856">
        <w:rPr>
          <w:rFonts w:asciiTheme="majorHAnsi" w:hAnsiTheme="majorHAnsi"/>
        </w:rPr>
        <w:t xml:space="preserve">group could leave the weakest </w:t>
      </w:r>
      <w:r w:rsidR="00481337" w:rsidRPr="00223856">
        <w:rPr>
          <w:rFonts w:asciiTheme="majorHAnsi" w:hAnsiTheme="majorHAnsi"/>
        </w:rPr>
        <w:t>among them</w:t>
      </w:r>
      <w:r w:rsidR="0023791B" w:rsidRPr="00223856">
        <w:rPr>
          <w:rFonts w:asciiTheme="majorHAnsi" w:hAnsiTheme="majorHAnsi"/>
        </w:rPr>
        <w:t xml:space="preserve"> worse off.</w:t>
      </w:r>
    </w:p>
    <w:p w14:paraId="179AE596" w14:textId="77777777" w:rsidR="00963345" w:rsidRPr="00223856" w:rsidRDefault="00963345" w:rsidP="00BC7B73">
      <w:pPr>
        <w:rPr>
          <w:rFonts w:asciiTheme="majorHAnsi" w:hAnsiTheme="majorHAnsi"/>
        </w:rPr>
      </w:pPr>
    </w:p>
    <w:p w14:paraId="2C665E5F" w14:textId="77777777" w:rsidR="0023791B" w:rsidRPr="00223856" w:rsidRDefault="0023791B" w:rsidP="00E31836">
      <w:pPr>
        <w:ind w:firstLine="720"/>
        <w:rPr>
          <w:rFonts w:asciiTheme="majorHAnsi" w:hAnsiTheme="majorHAnsi"/>
        </w:rPr>
      </w:pPr>
      <w:r w:rsidRPr="00223856">
        <w:rPr>
          <w:rFonts w:asciiTheme="majorHAnsi" w:hAnsiTheme="majorHAnsi"/>
        </w:rPr>
        <w:t>In the above example, imagine that consumer have to pay only half of the benefit that they get from the policy. Since the total cost of the policy is 4000, half of the cost, 2000, is borne by consumers—a per-consumer cost of 20. This half-cost can be a result of the efficiency of the policy (generating gross benefit of 4000 at a cost of only 2000), or it could be a result of the successful shifting of part of the cost to some external group (“producers”). Either way, the resulting net income would be 1080, 42, and 90 for the rich, middle-class, and poor, respectively. Still, despite the net improvement in the condition of the consumers as a group, the poor are still worse off, and still partially cross-subsidize the benefit to the rich.</w:t>
      </w:r>
    </w:p>
    <w:p w14:paraId="6E3F22CC" w14:textId="77777777" w:rsidR="006559B7" w:rsidRPr="00223856" w:rsidRDefault="006559B7" w:rsidP="00BC7B73">
      <w:pPr>
        <w:rPr>
          <w:rFonts w:asciiTheme="majorHAnsi" w:hAnsiTheme="majorHAnsi"/>
        </w:rPr>
      </w:pPr>
    </w:p>
    <w:p w14:paraId="0726E679" w14:textId="77777777" w:rsidR="00963345" w:rsidRPr="001A16A6" w:rsidRDefault="00963345" w:rsidP="009C2128">
      <w:pPr>
        <w:jc w:val="center"/>
        <w:rPr>
          <w:rFonts w:asciiTheme="majorHAnsi" w:hAnsiTheme="majorHAnsi"/>
          <w:b/>
        </w:rPr>
      </w:pPr>
      <w:r w:rsidRPr="001A16A6">
        <w:rPr>
          <w:rFonts w:asciiTheme="majorHAnsi" w:hAnsiTheme="majorHAnsi"/>
          <w:b/>
        </w:rPr>
        <w:t>IV. Access to Remed</w:t>
      </w:r>
      <w:r w:rsidR="009C2128" w:rsidRPr="001A16A6">
        <w:rPr>
          <w:rFonts w:asciiTheme="majorHAnsi" w:hAnsiTheme="majorHAnsi"/>
          <w:b/>
        </w:rPr>
        <w:t>ies</w:t>
      </w:r>
    </w:p>
    <w:p w14:paraId="7A6454E5" w14:textId="77777777" w:rsidR="00963345" w:rsidRPr="00223856" w:rsidRDefault="00963345" w:rsidP="00BC7B73">
      <w:pPr>
        <w:rPr>
          <w:rFonts w:asciiTheme="majorHAnsi" w:hAnsiTheme="majorHAnsi"/>
        </w:rPr>
      </w:pPr>
    </w:p>
    <w:p w14:paraId="7619C415" w14:textId="77777777" w:rsidR="001D4A4E" w:rsidRDefault="004919EE" w:rsidP="001D4A4E">
      <w:pPr>
        <w:ind w:firstLine="720"/>
        <w:rPr>
          <w:rFonts w:asciiTheme="majorHAnsi" w:hAnsiTheme="majorHAnsi"/>
        </w:rPr>
      </w:pPr>
      <w:r w:rsidRPr="00223856">
        <w:rPr>
          <w:rFonts w:asciiTheme="majorHAnsi" w:hAnsiTheme="majorHAnsi"/>
        </w:rPr>
        <w:t xml:space="preserve">Mandatory arbitration clauses deny consumers access to litigation in courts and replace it instead with arbitration. The working hypothesis among many commentators and courts is that this access denial is a burden to consumers, who would otherwise fare better in securing a remedy through courts. </w:t>
      </w:r>
      <w:r w:rsidR="00C30F95" w:rsidRPr="00223856">
        <w:rPr>
          <w:rFonts w:asciiTheme="majorHAnsi" w:hAnsiTheme="majorHAnsi"/>
        </w:rPr>
        <w:t xml:space="preserve">Arbitration is thus viewed as a more effective shield for businesses against lawsuits, reducing the businesses’ liability. </w:t>
      </w:r>
    </w:p>
    <w:p w14:paraId="5584533D" w14:textId="77777777" w:rsidR="001D4A4E" w:rsidRDefault="001D4A4E" w:rsidP="001D4A4E">
      <w:pPr>
        <w:ind w:firstLine="720"/>
        <w:rPr>
          <w:rFonts w:asciiTheme="majorHAnsi" w:hAnsiTheme="majorHAnsi"/>
        </w:rPr>
      </w:pPr>
    </w:p>
    <w:p w14:paraId="507A1D81" w14:textId="77777777" w:rsidR="004919EE" w:rsidRPr="00223856" w:rsidRDefault="004919EE" w:rsidP="001D4A4E">
      <w:pPr>
        <w:ind w:firstLine="720"/>
        <w:rPr>
          <w:rFonts w:asciiTheme="majorHAnsi" w:hAnsiTheme="majorHAnsi"/>
        </w:rPr>
      </w:pPr>
      <w:r w:rsidRPr="00223856">
        <w:rPr>
          <w:rFonts w:asciiTheme="majorHAnsi" w:hAnsiTheme="majorHAnsi"/>
        </w:rPr>
        <w:t xml:space="preserve">In this section, I will </w:t>
      </w:r>
      <w:r w:rsidR="00C30F95" w:rsidRPr="00223856">
        <w:rPr>
          <w:rFonts w:asciiTheme="majorHAnsi" w:hAnsiTheme="majorHAnsi"/>
        </w:rPr>
        <w:t xml:space="preserve">take this </w:t>
      </w:r>
      <w:r w:rsidR="004C4844" w:rsidRPr="00223856">
        <w:rPr>
          <w:rFonts w:asciiTheme="majorHAnsi" w:hAnsiTheme="majorHAnsi"/>
        </w:rPr>
        <w:t>premise</w:t>
      </w:r>
      <w:r w:rsidR="00C30F95" w:rsidRPr="00223856">
        <w:rPr>
          <w:rFonts w:asciiTheme="majorHAnsi" w:hAnsiTheme="majorHAnsi"/>
        </w:rPr>
        <w:t xml:space="preserve"> as a starting point. Some empirical work has contested this view, that arbitration reduces consumers’ recovery, </w:t>
      </w:r>
      <w:r w:rsidR="00107267" w:rsidRPr="00223856">
        <w:rPr>
          <w:rFonts w:asciiTheme="majorHAnsi" w:hAnsiTheme="majorHAnsi"/>
        </w:rPr>
        <w:t>suggesting that consumers (</w:t>
      </w:r>
      <w:r w:rsidR="003B5074" w:rsidRPr="00223856">
        <w:rPr>
          <w:rFonts w:asciiTheme="majorHAnsi" w:hAnsiTheme="majorHAnsi"/>
        </w:rPr>
        <w:t>or, for that matter</w:t>
      </w:r>
      <w:r w:rsidR="00107267" w:rsidRPr="00223856">
        <w:rPr>
          <w:rFonts w:asciiTheme="majorHAnsi" w:hAnsiTheme="majorHAnsi"/>
        </w:rPr>
        <w:t xml:space="preserve"> employees</w:t>
      </w:r>
      <w:r w:rsidR="003B5074" w:rsidRPr="00223856">
        <w:rPr>
          <w:rFonts w:asciiTheme="majorHAnsi" w:hAnsiTheme="majorHAnsi"/>
        </w:rPr>
        <w:t>, who are also contractually obligated to pursue their complaints through arbitration</w:t>
      </w:r>
      <w:r w:rsidR="00107267" w:rsidRPr="00223856">
        <w:rPr>
          <w:rFonts w:asciiTheme="majorHAnsi" w:hAnsiTheme="majorHAnsi"/>
        </w:rPr>
        <w:t>) actually fair well in arbitration, relative to litigation. B</w:t>
      </w:r>
      <w:r w:rsidR="00C30F95" w:rsidRPr="00223856">
        <w:rPr>
          <w:rFonts w:asciiTheme="majorHAnsi" w:hAnsiTheme="majorHAnsi"/>
        </w:rPr>
        <w:t xml:space="preserve">ut the </w:t>
      </w:r>
      <w:r w:rsidR="00107267" w:rsidRPr="00223856">
        <w:rPr>
          <w:rFonts w:asciiTheme="majorHAnsi" w:hAnsiTheme="majorHAnsi"/>
        </w:rPr>
        <w:t xml:space="preserve">empirical </w:t>
      </w:r>
      <w:r w:rsidR="00C30F95" w:rsidRPr="00223856">
        <w:rPr>
          <w:rFonts w:asciiTheme="majorHAnsi" w:hAnsiTheme="majorHAnsi"/>
        </w:rPr>
        <w:t>question remains open</w:t>
      </w:r>
      <w:r w:rsidR="00107267" w:rsidRPr="00223856">
        <w:rPr>
          <w:rFonts w:asciiTheme="majorHAnsi" w:hAnsiTheme="majorHAnsi"/>
        </w:rPr>
        <w:t xml:space="preserve"> and widely controversial</w:t>
      </w:r>
      <w:r w:rsidR="00C30F95" w:rsidRPr="00223856">
        <w:rPr>
          <w:rFonts w:asciiTheme="majorHAnsi" w:hAnsiTheme="majorHAnsi"/>
        </w:rPr>
        <w:t>.</w:t>
      </w:r>
      <w:r w:rsidR="003B5074" w:rsidRPr="00093969">
        <w:rPr>
          <w:rStyle w:val="FootnoteReference"/>
        </w:rPr>
        <w:footnoteReference w:id="37"/>
      </w:r>
      <w:r w:rsidR="00C30F95" w:rsidRPr="00223856">
        <w:rPr>
          <w:rFonts w:asciiTheme="majorHAnsi" w:hAnsiTheme="majorHAnsi"/>
        </w:rPr>
        <w:t xml:space="preserve"> My argument, instead, is that if arbitration indeed reduces consumer</w:t>
      </w:r>
      <w:r w:rsidR="00107267" w:rsidRPr="00223856">
        <w:rPr>
          <w:rFonts w:asciiTheme="majorHAnsi" w:hAnsiTheme="majorHAnsi"/>
        </w:rPr>
        <w:t>s’</w:t>
      </w:r>
      <w:r w:rsidR="00C30F95" w:rsidRPr="00223856">
        <w:rPr>
          <w:rFonts w:asciiTheme="majorHAnsi" w:hAnsiTheme="majorHAnsi"/>
        </w:rPr>
        <w:t xml:space="preserve"> recovery, this effect is </w:t>
      </w:r>
      <w:r w:rsidR="00861650" w:rsidRPr="00223856">
        <w:rPr>
          <w:rFonts w:asciiTheme="majorHAnsi" w:hAnsiTheme="majorHAnsi"/>
        </w:rPr>
        <w:t xml:space="preserve">potentially </w:t>
      </w:r>
      <w:r w:rsidR="00C30F95" w:rsidRPr="00223856">
        <w:rPr>
          <w:rFonts w:asciiTheme="majorHAnsi" w:hAnsiTheme="majorHAnsi"/>
        </w:rPr>
        <w:t xml:space="preserve">favorable not only to businesses, but also to the weakest sub-groups of consumers. </w:t>
      </w:r>
      <w:r w:rsidR="00861650" w:rsidRPr="00223856">
        <w:rPr>
          <w:rFonts w:asciiTheme="majorHAnsi" w:hAnsiTheme="majorHAnsi"/>
        </w:rPr>
        <w:t>This</w:t>
      </w:r>
      <w:r w:rsidR="00C30F95" w:rsidRPr="00223856">
        <w:rPr>
          <w:rFonts w:asciiTheme="majorHAnsi" w:hAnsiTheme="majorHAnsi"/>
        </w:rPr>
        <w:t xml:space="preserve"> is a direct application of the</w:t>
      </w:r>
      <w:r w:rsidR="0035740B" w:rsidRPr="00223856">
        <w:rPr>
          <w:rFonts w:asciiTheme="majorHAnsi" w:hAnsiTheme="majorHAnsi"/>
        </w:rPr>
        <w:t xml:space="preserve"> strong form of the</w:t>
      </w:r>
      <w:r w:rsidR="00C30F95" w:rsidRPr="00223856">
        <w:rPr>
          <w:rFonts w:asciiTheme="majorHAnsi" w:hAnsiTheme="majorHAnsi"/>
        </w:rPr>
        <w:t xml:space="preserve"> regressive cross-subsidy idea. A</w:t>
      </w:r>
      <w:r w:rsidRPr="00223856">
        <w:rPr>
          <w:rFonts w:asciiTheme="majorHAnsi" w:hAnsiTheme="majorHAnsi"/>
        </w:rPr>
        <w:t>ccess to litigation</w:t>
      </w:r>
      <w:r w:rsidR="003B145A" w:rsidRPr="00223856">
        <w:rPr>
          <w:rFonts w:asciiTheme="majorHAnsi" w:hAnsiTheme="majorHAnsi"/>
        </w:rPr>
        <w:t xml:space="preserve"> is </w:t>
      </w:r>
      <w:r w:rsidR="0035740B" w:rsidRPr="00223856">
        <w:rPr>
          <w:rFonts w:asciiTheme="majorHAnsi" w:hAnsiTheme="majorHAnsi"/>
        </w:rPr>
        <w:t>an</w:t>
      </w:r>
      <w:r w:rsidR="003B145A" w:rsidRPr="00223856">
        <w:rPr>
          <w:rFonts w:asciiTheme="majorHAnsi" w:hAnsiTheme="majorHAnsi"/>
        </w:rPr>
        <w:t xml:space="preserve"> open-access policy that, although available to all, it </w:t>
      </w:r>
      <w:r w:rsidRPr="00223856">
        <w:rPr>
          <w:rFonts w:asciiTheme="majorHAnsi" w:hAnsiTheme="majorHAnsi"/>
        </w:rPr>
        <w:t xml:space="preserve">disproportionately </w:t>
      </w:r>
      <w:r w:rsidR="0035740B" w:rsidRPr="00223856">
        <w:rPr>
          <w:rFonts w:asciiTheme="majorHAnsi" w:hAnsiTheme="majorHAnsi"/>
        </w:rPr>
        <w:t>utilized by</w:t>
      </w:r>
      <w:r w:rsidRPr="00223856">
        <w:rPr>
          <w:rFonts w:asciiTheme="majorHAnsi" w:hAnsiTheme="majorHAnsi"/>
        </w:rPr>
        <w:t xml:space="preserve"> the sophisticated elite</w:t>
      </w:r>
      <w:r w:rsidR="003B145A" w:rsidRPr="00223856">
        <w:rPr>
          <w:rFonts w:asciiTheme="majorHAnsi" w:hAnsiTheme="majorHAnsi"/>
        </w:rPr>
        <w:t xml:space="preserve">, and these </w:t>
      </w:r>
      <w:r w:rsidR="00C30F95" w:rsidRPr="00223856">
        <w:rPr>
          <w:rFonts w:asciiTheme="majorHAnsi" w:hAnsiTheme="majorHAnsi"/>
        </w:rPr>
        <w:t>benefits are partially funded by the less sophisticated consumers</w:t>
      </w:r>
      <w:r w:rsidR="003B145A" w:rsidRPr="00223856">
        <w:rPr>
          <w:rFonts w:asciiTheme="majorHAnsi" w:hAnsiTheme="majorHAnsi"/>
        </w:rPr>
        <w:t xml:space="preserve">. Accordingly, </w:t>
      </w:r>
      <w:r w:rsidR="0035740B" w:rsidRPr="00223856">
        <w:rPr>
          <w:rFonts w:asciiTheme="majorHAnsi" w:hAnsiTheme="majorHAnsi"/>
        </w:rPr>
        <w:t>if indeed arbitration restricts</w:t>
      </w:r>
      <w:r w:rsidRPr="00223856">
        <w:rPr>
          <w:rFonts w:asciiTheme="majorHAnsi" w:hAnsiTheme="majorHAnsi"/>
        </w:rPr>
        <w:t xml:space="preserve"> </w:t>
      </w:r>
      <w:r w:rsidR="0035740B" w:rsidRPr="00223856">
        <w:rPr>
          <w:rFonts w:asciiTheme="majorHAnsi" w:hAnsiTheme="majorHAnsi"/>
        </w:rPr>
        <w:t>access to lawsuits and to recovery, it</w:t>
      </w:r>
      <w:r w:rsidR="003B145A" w:rsidRPr="00223856">
        <w:rPr>
          <w:rFonts w:asciiTheme="majorHAnsi" w:hAnsiTheme="majorHAnsi"/>
        </w:rPr>
        <w:t xml:space="preserve"> removes </w:t>
      </w:r>
      <w:r w:rsidR="0035740B" w:rsidRPr="00223856">
        <w:rPr>
          <w:rFonts w:asciiTheme="majorHAnsi" w:hAnsiTheme="majorHAnsi"/>
        </w:rPr>
        <w:t>the</w:t>
      </w:r>
      <w:r w:rsidR="003B145A" w:rsidRPr="00223856">
        <w:rPr>
          <w:rFonts w:asciiTheme="majorHAnsi" w:hAnsiTheme="majorHAnsi"/>
        </w:rPr>
        <w:t xml:space="preserve"> disproportionate benefit and thus</w:t>
      </w:r>
      <w:r w:rsidR="00C30F95" w:rsidRPr="00223856">
        <w:rPr>
          <w:rFonts w:asciiTheme="majorHAnsi" w:hAnsiTheme="majorHAnsi"/>
        </w:rPr>
        <w:t xml:space="preserve"> eliminates </w:t>
      </w:r>
      <w:r w:rsidR="003B145A" w:rsidRPr="00223856">
        <w:rPr>
          <w:rFonts w:asciiTheme="majorHAnsi" w:hAnsiTheme="majorHAnsi"/>
        </w:rPr>
        <w:t>a</w:t>
      </w:r>
      <w:r w:rsidR="00C30F95" w:rsidRPr="00223856">
        <w:rPr>
          <w:rFonts w:asciiTheme="majorHAnsi" w:hAnsiTheme="majorHAnsi"/>
        </w:rPr>
        <w:t xml:space="preserve"> regressive cross-</w:t>
      </w:r>
      <w:r w:rsidRPr="00223856">
        <w:rPr>
          <w:rFonts w:asciiTheme="majorHAnsi" w:hAnsiTheme="majorHAnsi"/>
        </w:rPr>
        <w:t xml:space="preserve">subsidy. </w:t>
      </w:r>
    </w:p>
    <w:p w14:paraId="77CACF9A" w14:textId="77777777" w:rsidR="004919EE" w:rsidRPr="00223856" w:rsidRDefault="004919EE" w:rsidP="004919EE">
      <w:pPr>
        <w:rPr>
          <w:rFonts w:asciiTheme="majorHAnsi" w:hAnsiTheme="majorHAnsi"/>
        </w:rPr>
      </w:pPr>
    </w:p>
    <w:p w14:paraId="3A8B3CCF" w14:textId="77777777" w:rsidR="00861650" w:rsidRPr="001A16A6" w:rsidRDefault="00861650" w:rsidP="00861650">
      <w:pPr>
        <w:pStyle w:val="ListParagraph"/>
        <w:numPr>
          <w:ilvl w:val="0"/>
          <w:numId w:val="8"/>
        </w:numPr>
        <w:rPr>
          <w:rFonts w:asciiTheme="majorHAnsi" w:hAnsiTheme="majorHAnsi"/>
          <w:i/>
        </w:rPr>
      </w:pPr>
      <w:r w:rsidRPr="001A16A6">
        <w:rPr>
          <w:rFonts w:asciiTheme="majorHAnsi" w:hAnsiTheme="majorHAnsi"/>
          <w:i/>
        </w:rPr>
        <w:t>Who Benefits from Access to Litigation?</w:t>
      </w:r>
    </w:p>
    <w:p w14:paraId="0AA8A067" w14:textId="77777777" w:rsidR="00861650" w:rsidRPr="00223856" w:rsidRDefault="00861650" w:rsidP="00861650">
      <w:pPr>
        <w:pStyle w:val="ListParagraph"/>
        <w:rPr>
          <w:rFonts w:asciiTheme="majorHAnsi" w:hAnsiTheme="majorHAnsi"/>
        </w:rPr>
      </w:pPr>
    </w:p>
    <w:p w14:paraId="021E42AC" w14:textId="77777777" w:rsidR="001D4A4E" w:rsidRDefault="004919EE" w:rsidP="001D4A4E">
      <w:pPr>
        <w:ind w:firstLine="720"/>
        <w:rPr>
          <w:rFonts w:asciiTheme="majorHAnsi" w:hAnsiTheme="majorHAnsi"/>
        </w:rPr>
      </w:pPr>
      <w:r w:rsidRPr="00223856">
        <w:rPr>
          <w:rFonts w:asciiTheme="majorHAnsi" w:hAnsiTheme="majorHAnsi"/>
        </w:rPr>
        <w:t xml:space="preserve">When access to courts and to litigation is free and unrestricted, who takes advantage of it? In order to pursue any kind of litigation strategy, the </w:t>
      </w:r>
      <w:r w:rsidR="003B145A" w:rsidRPr="00223856">
        <w:rPr>
          <w:rFonts w:asciiTheme="majorHAnsi" w:hAnsiTheme="majorHAnsi"/>
        </w:rPr>
        <w:t>aggrieved claimant</w:t>
      </w:r>
      <w:r w:rsidRPr="00223856">
        <w:rPr>
          <w:rFonts w:asciiTheme="majorHAnsi" w:hAnsiTheme="majorHAnsi"/>
        </w:rPr>
        <w:t xml:space="preserve"> has to understand that its rights were </w:t>
      </w:r>
      <w:r w:rsidR="003B145A" w:rsidRPr="00223856">
        <w:rPr>
          <w:rFonts w:asciiTheme="majorHAnsi" w:hAnsiTheme="majorHAnsi"/>
        </w:rPr>
        <w:t xml:space="preserve">violated. </w:t>
      </w:r>
      <w:r w:rsidR="00861650" w:rsidRPr="00223856">
        <w:rPr>
          <w:rFonts w:asciiTheme="majorHAnsi" w:hAnsiTheme="majorHAnsi"/>
        </w:rPr>
        <w:t>He</w:t>
      </w:r>
      <w:r w:rsidR="003B145A" w:rsidRPr="00223856">
        <w:rPr>
          <w:rFonts w:asciiTheme="majorHAnsi" w:hAnsiTheme="majorHAnsi"/>
        </w:rPr>
        <w:t xml:space="preserve"> also has </w:t>
      </w:r>
      <w:r w:rsidR="005F6744" w:rsidRPr="00223856">
        <w:rPr>
          <w:rFonts w:asciiTheme="majorHAnsi" w:hAnsiTheme="majorHAnsi"/>
        </w:rPr>
        <w:t xml:space="preserve">to believe that a court would </w:t>
      </w:r>
      <w:r w:rsidR="003B145A" w:rsidRPr="00223856">
        <w:rPr>
          <w:rFonts w:asciiTheme="majorHAnsi" w:hAnsiTheme="majorHAnsi"/>
        </w:rPr>
        <w:t xml:space="preserve">share this view and </w:t>
      </w:r>
      <w:r w:rsidR="005F6744" w:rsidRPr="00223856">
        <w:rPr>
          <w:rFonts w:asciiTheme="majorHAnsi" w:hAnsiTheme="majorHAnsi"/>
        </w:rPr>
        <w:t>be persuaded that a violation occurred</w:t>
      </w:r>
      <w:r w:rsidR="003B145A" w:rsidRPr="00223856">
        <w:rPr>
          <w:rFonts w:asciiTheme="majorHAnsi" w:hAnsiTheme="majorHAnsi"/>
        </w:rPr>
        <w:t xml:space="preserve">, and have enough of a </w:t>
      </w:r>
      <w:r w:rsidR="003B145A" w:rsidRPr="00223856">
        <w:rPr>
          <w:rFonts w:asciiTheme="majorHAnsi" w:hAnsiTheme="majorHAnsi"/>
        </w:rPr>
        <w:lastRenderedPageBreak/>
        <w:t xml:space="preserve">litigious nature to undertake the ordeal of an adversary court dispute. </w:t>
      </w:r>
      <w:r w:rsidR="00861650" w:rsidRPr="00223856">
        <w:rPr>
          <w:rFonts w:asciiTheme="majorHAnsi" w:hAnsiTheme="majorHAnsi"/>
        </w:rPr>
        <w:t>He</w:t>
      </w:r>
      <w:r w:rsidR="003B145A" w:rsidRPr="00223856">
        <w:rPr>
          <w:rFonts w:asciiTheme="majorHAnsi" w:hAnsiTheme="majorHAnsi"/>
        </w:rPr>
        <w:t xml:space="preserve"> then has </w:t>
      </w:r>
      <w:r w:rsidR="005F6744" w:rsidRPr="00223856">
        <w:rPr>
          <w:rFonts w:asciiTheme="majorHAnsi" w:hAnsiTheme="majorHAnsi"/>
        </w:rPr>
        <w:t>to find an attorney that would take the case</w:t>
      </w:r>
      <w:r w:rsidR="003B145A" w:rsidRPr="00223856">
        <w:rPr>
          <w:rFonts w:asciiTheme="majorHAnsi" w:hAnsiTheme="majorHAnsi"/>
        </w:rPr>
        <w:t xml:space="preserve"> (and pay the attorney). And, importantly, the claimant has </w:t>
      </w:r>
      <w:r w:rsidR="005F6744" w:rsidRPr="00223856">
        <w:rPr>
          <w:rFonts w:asciiTheme="majorHAnsi" w:hAnsiTheme="majorHAnsi"/>
        </w:rPr>
        <w:t>to have the patience to await a remedy that sometimes takes years to secure.</w:t>
      </w:r>
    </w:p>
    <w:p w14:paraId="5DF07D40" w14:textId="77777777" w:rsidR="001D4A4E" w:rsidRDefault="001D4A4E" w:rsidP="001D4A4E">
      <w:pPr>
        <w:ind w:firstLine="720"/>
        <w:rPr>
          <w:rFonts w:asciiTheme="majorHAnsi" w:hAnsiTheme="majorHAnsi"/>
        </w:rPr>
      </w:pPr>
    </w:p>
    <w:p w14:paraId="6E01E601" w14:textId="77777777" w:rsidR="00A72EF4" w:rsidRPr="00223856" w:rsidRDefault="005F6744" w:rsidP="001D4A4E">
      <w:pPr>
        <w:ind w:firstLine="720"/>
        <w:rPr>
          <w:rFonts w:asciiTheme="majorHAnsi" w:hAnsiTheme="majorHAnsi"/>
        </w:rPr>
      </w:pPr>
      <w:r w:rsidRPr="00223856">
        <w:rPr>
          <w:rFonts w:asciiTheme="majorHAnsi" w:hAnsiTheme="majorHAnsi"/>
        </w:rPr>
        <w:t xml:space="preserve">All these are features that some consumers have, </w:t>
      </w:r>
      <w:r w:rsidR="003B145A" w:rsidRPr="00223856">
        <w:rPr>
          <w:rFonts w:asciiTheme="majorHAnsi" w:hAnsiTheme="majorHAnsi"/>
        </w:rPr>
        <w:t>and others don’t. But the distribution of these features is not random among consumers. Rather, these characteristics are far more likely to be found in</w:t>
      </w:r>
      <w:r w:rsidRPr="00223856">
        <w:rPr>
          <w:rFonts w:asciiTheme="majorHAnsi" w:hAnsiTheme="majorHAnsi"/>
        </w:rPr>
        <w:t xml:space="preserve"> wealthier, more educated, an</w:t>
      </w:r>
      <w:r w:rsidR="00362778" w:rsidRPr="00223856">
        <w:rPr>
          <w:rFonts w:asciiTheme="majorHAnsi" w:hAnsiTheme="majorHAnsi"/>
        </w:rPr>
        <w:t>d more sophisticated consumers.</w:t>
      </w:r>
      <w:r w:rsidR="00362778" w:rsidRPr="00093969">
        <w:rPr>
          <w:rStyle w:val="FootnoteReference"/>
        </w:rPr>
        <w:footnoteReference w:id="38"/>
      </w:r>
      <w:r w:rsidR="001D4A4E">
        <w:rPr>
          <w:rFonts w:asciiTheme="majorHAnsi" w:hAnsiTheme="majorHAnsi"/>
        </w:rPr>
        <w:t xml:space="preserve"> </w:t>
      </w:r>
      <w:r w:rsidRPr="00223856">
        <w:rPr>
          <w:rFonts w:asciiTheme="majorHAnsi" w:hAnsiTheme="majorHAnsi"/>
        </w:rPr>
        <w:t>Take the first link in this chain—</w:t>
      </w:r>
      <w:r w:rsidR="003B145A" w:rsidRPr="00223856">
        <w:rPr>
          <w:rFonts w:asciiTheme="majorHAnsi" w:hAnsiTheme="majorHAnsi"/>
        </w:rPr>
        <w:t xml:space="preserve">the claimant’s ability to </w:t>
      </w:r>
      <w:r w:rsidRPr="00223856">
        <w:rPr>
          <w:rFonts w:asciiTheme="majorHAnsi" w:hAnsiTheme="majorHAnsi"/>
        </w:rPr>
        <w:t>recogniz</w:t>
      </w:r>
      <w:r w:rsidR="003B145A" w:rsidRPr="00223856">
        <w:rPr>
          <w:rFonts w:asciiTheme="majorHAnsi" w:hAnsiTheme="majorHAnsi"/>
        </w:rPr>
        <w:t>e</w:t>
      </w:r>
      <w:r w:rsidRPr="00223856">
        <w:rPr>
          <w:rFonts w:asciiTheme="majorHAnsi" w:hAnsiTheme="majorHAnsi"/>
        </w:rPr>
        <w:t xml:space="preserve"> that a violation occurred. Even this basic link is more likely to be satisfied when the consumer is sophisticated. The consumer has to know his rights, and</w:t>
      </w:r>
      <w:r w:rsidR="003B145A" w:rsidRPr="00223856">
        <w:rPr>
          <w:rFonts w:asciiTheme="majorHAnsi" w:hAnsiTheme="majorHAnsi"/>
        </w:rPr>
        <w:t xml:space="preserve"> for</w:t>
      </w:r>
      <w:r w:rsidRPr="00223856">
        <w:rPr>
          <w:rFonts w:asciiTheme="majorHAnsi" w:hAnsiTheme="majorHAnsi"/>
        </w:rPr>
        <w:t xml:space="preserve"> that </w:t>
      </w:r>
      <w:r w:rsidR="003B145A" w:rsidRPr="00223856">
        <w:rPr>
          <w:rFonts w:asciiTheme="majorHAnsi" w:hAnsiTheme="majorHAnsi"/>
        </w:rPr>
        <w:t>the consumer has</w:t>
      </w:r>
      <w:r w:rsidRPr="00223856">
        <w:rPr>
          <w:rFonts w:asciiTheme="majorHAnsi" w:hAnsiTheme="majorHAnsi"/>
        </w:rPr>
        <w:t xml:space="preserve"> to be educated enough to read, understand, and exploit the information </w:t>
      </w:r>
      <w:r w:rsidR="003B145A" w:rsidRPr="00223856">
        <w:rPr>
          <w:rFonts w:asciiTheme="majorHAnsi" w:hAnsiTheme="majorHAnsi"/>
        </w:rPr>
        <w:t>written (sometimes in legal language) in</w:t>
      </w:r>
      <w:r w:rsidRPr="00223856">
        <w:rPr>
          <w:rFonts w:asciiTheme="majorHAnsi" w:hAnsiTheme="majorHAnsi"/>
        </w:rPr>
        <w:t xml:space="preserve"> the consumer contract and </w:t>
      </w:r>
      <w:r w:rsidR="003B145A" w:rsidRPr="00223856">
        <w:rPr>
          <w:rFonts w:asciiTheme="majorHAnsi" w:hAnsiTheme="majorHAnsi"/>
        </w:rPr>
        <w:t xml:space="preserve">in </w:t>
      </w:r>
      <w:r w:rsidRPr="00223856">
        <w:rPr>
          <w:rFonts w:asciiTheme="majorHAnsi" w:hAnsiTheme="majorHAnsi"/>
        </w:rPr>
        <w:t xml:space="preserve">other </w:t>
      </w:r>
      <w:r w:rsidR="003B145A" w:rsidRPr="00223856">
        <w:rPr>
          <w:rFonts w:asciiTheme="majorHAnsi" w:hAnsiTheme="majorHAnsi"/>
        </w:rPr>
        <w:t xml:space="preserve">lengthy </w:t>
      </w:r>
      <w:r w:rsidRPr="00223856">
        <w:rPr>
          <w:rFonts w:asciiTheme="majorHAnsi" w:hAnsiTheme="majorHAnsi"/>
        </w:rPr>
        <w:t>mandated disclosure</w:t>
      </w:r>
      <w:r w:rsidR="003B145A" w:rsidRPr="00223856">
        <w:rPr>
          <w:rFonts w:asciiTheme="majorHAnsi" w:hAnsiTheme="majorHAnsi"/>
        </w:rPr>
        <w:t>s</w:t>
      </w:r>
      <w:r w:rsidRPr="00223856">
        <w:rPr>
          <w:rFonts w:asciiTheme="majorHAnsi" w:hAnsiTheme="majorHAnsi"/>
        </w:rPr>
        <w:t xml:space="preserve"> that spell out the consumer’s rights.</w:t>
      </w:r>
      <w:r w:rsidR="003B145A" w:rsidRPr="00223856">
        <w:rPr>
          <w:rFonts w:asciiTheme="majorHAnsi" w:hAnsiTheme="majorHAnsi"/>
        </w:rPr>
        <w:t xml:space="preserve"> For example, if the consumer is shocked about a large unexpected fee that the service provider inserted into the bill, </w:t>
      </w:r>
      <w:r w:rsidR="00485FFC" w:rsidRPr="00223856">
        <w:rPr>
          <w:rFonts w:asciiTheme="majorHAnsi" w:hAnsiTheme="majorHAnsi"/>
        </w:rPr>
        <w:t xml:space="preserve">or about the personal data that the business harvested from the consumer’s account, </w:t>
      </w:r>
      <w:r w:rsidR="003B145A" w:rsidRPr="00223856">
        <w:rPr>
          <w:rFonts w:asciiTheme="majorHAnsi" w:hAnsiTheme="majorHAnsi"/>
        </w:rPr>
        <w:t>the consumer needs to verify that the fee</w:t>
      </w:r>
      <w:r w:rsidR="00485FFC" w:rsidRPr="00223856">
        <w:rPr>
          <w:rFonts w:asciiTheme="majorHAnsi" w:hAnsiTheme="majorHAnsi"/>
        </w:rPr>
        <w:t xml:space="preserve">, or the data collection practice, are a violation of </w:t>
      </w:r>
      <w:r w:rsidR="003B145A" w:rsidRPr="00223856">
        <w:rPr>
          <w:rFonts w:asciiTheme="majorHAnsi" w:hAnsiTheme="majorHAnsi"/>
        </w:rPr>
        <w:t>the fine print</w:t>
      </w:r>
      <w:r w:rsidR="00485FFC" w:rsidRPr="00223856">
        <w:rPr>
          <w:rFonts w:asciiTheme="majorHAnsi" w:hAnsiTheme="majorHAnsi"/>
        </w:rPr>
        <w:t xml:space="preserve"> terms and conditions or</w:t>
      </w:r>
      <w:r w:rsidR="001D4A4E">
        <w:rPr>
          <w:rFonts w:asciiTheme="majorHAnsi" w:hAnsiTheme="majorHAnsi"/>
        </w:rPr>
        <w:t xml:space="preserve"> of the</w:t>
      </w:r>
      <w:r w:rsidR="00485FFC" w:rsidRPr="00223856">
        <w:rPr>
          <w:rFonts w:asciiTheme="majorHAnsi" w:hAnsiTheme="majorHAnsi"/>
        </w:rPr>
        <w:t xml:space="preserve"> privacy policy</w:t>
      </w:r>
      <w:r w:rsidR="003B145A" w:rsidRPr="00223856">
        <w:rPr>
          <w:rFonts w:asciiTheme="majorHAnsi" w:hAnsiTheme="majorHAnsi"/>
        </w:rPr>
        <w:t xml:space="preserve"> to which the consumer agreed upfront. </w:t>
      </w:r>
    </w:p>
    <w:p w14:paraId="59E19877" w14:textId="77777777" w:rsidR="00A72EF4" w:rsidRPr="00223856" w:rsidRDefault="00A72EF4" w:rsidP="004919EE">
      <w:pPr>
        <w:rPr>
          <w:rFonts w:asciiTheme="majorHAnsi" w:hAnsiTheme="majorHAnsi"/>
        </w:rPr>
      </w:pPr>
    </w:p>
    <w:p w14:paraId="3EA300D8" w14:textId="77777777" w:rsidR="00CC5AD2" w:rsidRPr="00223856" w:rsidRDefault="00A72EF4" w:rsidP="001D4A4E">
      <w:pPr>
        <w:ind w:firstLine="720"/>
        <w:rPr>
          <w:rFonts w:asciiTheme="majorHAnsi" w:hAnsiTheme="majorHAnsi"/>
        </w:rPr>
      </w:pPr>
      <w:r w:rsidRPr="00223856">
        <w:rPr>
          <w:rFonts w:asciiTheme="majorHAnsi" w:hAnsiTheme="majorHAnsi"/>
        </w:rPr>
        <w:t xml:space="preserve">It is well documented that </w:t>
      </w:r>
      <w:r w:rsidR="003B145A" w:rsidRPr="00223856">
        <w:rPr>
          <w:rFonts w:asciiTheme="majorHAnsi" w:hAnsiTheme="majorHAnsi"/>
        </w:rPr>
        <w:t xml:space="preserve">poor, </w:t>
      </w:r>
      <w:r w:rsidRPr="00223856">
        <w:rPr>
          <w:rFonts w:asciiTheme="majorHAnsi" w:hAnsiTheme="majorHAnsi"/>
        </w:rPr>
        <w:t>less-educated</w:t>
      </w:r>
      <w:r w:rsidR="003B145A" w:rsidRPr="00223856">
        <w:rPr>
          <w:rFonts w:asciiTheme="majorHAnsi" w:hAnsiTheme="majorHAnsi"/>
        </w:rPr>
        <w:t xml:space="preserve"> consumers are less likely to successfully read and understand the </w:t>
      </w:r>
      <w:r w:rsidR="00485FFC" w:rsidRPr="00223856">
        <w:rPr>
          <w:rFonts w:asciiTheme="majorHAnsi" w:hAnsiTheme="majorHAnsi"/>
        </w:rPr>
        <w:t>terms of the contract.</w:t>
      </w:r>
      <w:r w:rsidR="002E1E45" w:rsidRPr="00093969">
        <w:rPr>
          <w:rStyle w:val="FootnoteReference"/>
        </w:rPr>
        <w:footnoteReference w:id="39"/>
      </w:r>
      <w:r w:rsidR="00485FFC" w:rsidRPr="00223856">
        <w:rPr>
          <w:rFonts w:asciiTheme="majorHAnsi" w:hAnsiTheme="majorHAnsi"/>
        </w:rPr>
        <w:t xml:space="preserve"> </w:t>
      </w:r>
      <w:r w:rsidRPr="00223856">
        <w:rPr>
          <w:rFonts w:asciiTheme="majorHAnsi" w:hAnsiTheme="majorHAnsi"/>
        </w:rPr>
        <w:t xml:space="preserve">For one, </w:t>
      </w:r>
      <w:r w:rsidR="00CC5AD2" w:rsidRPr="00223856">
        <w:rPr>
          <w:rFonts w:asciiTheme="majorHAnsi" w:hAnsiTheme="majorHAnsi"/>
        </w:rPr>
        <w:t xml:space="preserve">it is no small task to recognize a violation, when it requires reading and understanding contracts and complex legal texts. </w:t>
      </w:r>
      <w:r w:rsidRPr="00223856">
        <w:rPr>
          <w:rFonts w:asciiTheme="majorHAnsi" w:hAnsiTheme="majorHAnsi"/>
        </w:rPr>
        <w:t>One study suggests that only 3-4% of the population can understand the language in which contracts are drafted.</w:t>
      </w:r>
      <w:r w:rsidRPr="00223856">
        <w:rPr>
          <w:rFonts w:asciiTheme="majorHAnsi" w:hAnsiTheme="majorHAnsi"/>
          <w:vertAlign w:val="superscript"/>
        </w:rPr>
        <w:footnoteReference w:id="40"/>
      </w:r>
      <w:r w:rsidRPr="00223856">
        <w:rPr>
          <w:rFonts w:asciiTheme="majorHAnsi" w:hAnsiTheme="majorHAnsi"/>
        </w:rPr>
        <w:t xml:space="preserve"> And to recognize a violation and articulate a complaint, consumers have to be able to perform</w:t>
      </w:r>
      <w:r w:rsidR="00CC5AD2" w:rsidRPr="00223856">
        <w:rPr>
          <w:rFonts w:asciiTheme="majorHAnsi" w:hAnsiTheme="majorHAnsi"/>
        </w:rPr>
        <w:t xml:space="preserve"> nontrivial</w:t>
      </w:r>
      <w:r w:rsidRPr="00223856">
        <w:rPr>
          <w:rFonts w:asciiTheme="majorHAnsi" w:hAnsiTheme="majorHAnsi"/>
        </w:rPr>
        <w:t xml:space="preserve"> numeracy skills, including some understanding of risk and probabilities—which they often lack.</w:t>
      </w:r>
      <w:r w:rsidR="00CC5AD2" w:rsidRPr="00223856">
        <w:rPr>
          <w:rFonts w:asciiTheme="majorHAnsi" w:hAnsiTheme="majorHAnsi"/>
        </w:rPr>
        <w:t xml:space="preserve"> For example only 18% of respondents in a survey could calculate how much a $200 investment that earns 10% interest per year would yield after 2 years ($242).</w:t>
      </w:r>
      <w:r w:rsidR="00CC5AD2" w:rsidRPr="00223856">
        <w:rPr>
          <w:rFonts w:asciiTheme="majorHAnsi" w:hAnsiTheme="majorHAnsi"/>
          <w:vertAlign w:val="superscript"/>
        </w:rPr>
        <w:footnoteReference w:id="41"/>
      </w:r>
      <w:r w:rsidR="00CC5AD2" w:rsidRPr="00223856">
        <w:rPr>
          <w:rFonts w:asciiTheme="majorHAnsi" w:hAnsiTheme="majorHAnsi"/>
        </w:rPr>
        <w:t xml:space="preserve"> Or, </w:t>
      </w:r>
      <w:r w:rsidR="00362778" w:rsidRPr="00223856">
        <w:rPr>
          <w:rFonts w:asciiTheme="majorHAnsi" w:hAnsiTheme="majorHAnsi"/>
        </w:rPr>
        <w:t xml:space="preserve">only 16% of sample of surveyed women of above-average literacy answered correctly three basic questions about probability: </w:t>
      </w:r>
      <w:r w:rsidRPr="00223856">
        <w:rPr>
          <w:rFonts w:asciiTheme="majorHAnsi" w:hAnsiTheme="majorHAnsi"/>
        </w:rPr>
        <w:t xml:space="preserve">(1) how often a flipped coin comes up heads in 1,000 </w:t>
      </w:r>
      <w:r w:rsidRPr="00223856">
        <w:rPr>
          <w:rFonts w:asciiTheme="majorHAnsi" w:hAnsiTheme="majorHAnsi"/>
        </w:rPr>
        <w:lastRenderedPageBreak/>
        <w:t>tries, (2) what 1% of 1,000 is, and (3) to turn a proportion (1 in 1000) into a percentage.</w:t>
      </w:r>
      <w:r w:rsidRPr="00223856">
        <w:rPr>
          <w:rFonts w:asciiTheme="majorHAnsi" w:hAnsiTheme="majorHAnsi"/>
          <w:vertAlign w:val="superscript"/>
        </w:rPr>
        <w:footnoteReference w:id="42"/>
      </w:r>
    </w:p>
    <w:p w14:paraId="0E6442BA" w14:textId="77777777" w:rsidR="00CC5AD2" w:rsidRPr="00223856" w:rsidRDefault="00CC5AD2" w:rsidP="00A72EF4">
      <w:pPr>
        <w:rPr>
          <w:rFonts w:asciiTheme="majorHAnsi" w:hAnsiTheme="majorHAnsi"/>
        </w:rPr>
      </w:pPr>
    </w:p>
    <w:p w14:paraId="37608E65" w14:textId="77777777" w:rsidR="00362778" w:rsidRPr="00223856" w:rsidRDefault="00362778" w:rsidP="001D4A4E">
      <w:pPr>
        <w:ind w:firstLine="720"/>
        <w:rPr>
          <w:rFonts w:asciiTheme="majorHAnsi" w:hAnsiTheme="majorHAnsi"/>
        </w:rPr>
      </w:pPr>
      <w:r w:rsidRPr="00223856">
        <w:rPr>
          <w:rFonts w:asciiTheme="majorHAnsi" w:hAnsiTheme="majorHAnsi"/>
        </w:rPr>
        <w:t>Not only are illiteracy and innumeracy widespread, they are particularly common among vulnerable people. This is a well-known and documented fact: according to the U.S. Department of Education, income is significantly associated with higher literacy levels. Minorities, and people receiving public assistance, all have lower levels of income and thus literacy.</w:t>
      </w:r>
      <w:r w:rsidRPr="00093969">
        <w:rPr>
          <w:rStyle w:val="FootnoteReference"/>
        </w:rPr>
        <w:footnoteReference w:id="43"/>
      </w:r>
      <w:r w:rsidRPr="00223856">
        <w:rPr>
          <w:rFonts w:asciiTheme="majorHAnsi" w:hAnsiTheme="majorHAnsi"/>
        </w:rPr>
        <w:t xml:space="preserve"> </w:t>
      </w:r>
    </w:p>
    <w:p w14:paraId="0E4394B5" w14:textId="77777777" w:rsidR="00362778" w:rsidRPr="00223856" w:rsidRDefault="00362778" w:rsidP="00CC5AD2">
      <w:pPr>
        <w:rPr>
          <w:rFonts w:asciiTheme="majorHAnsi" w:hAnsiTheme="majorHAnsi"/>
        </w:rPr>
      </w:pPr>
    </w:p>
    <w:p w14:paraId="51AC9954" w14:textId="77777777" w:rsidR="00362778" w:rsidRPr="00223856" w:rsidRDefault="00362778" w:rsidP="001D4A4E">
      <w:pPr>
        <w:ind w:firstLine="720"/>
        <w:rPr>
          <w:rFonts w:asciiTheme="majorHAnsi" w:hAnsiTheme="majorHAnsi"/>
        </w:rPr>
      </w:pPr>
      <w:r w:rsidRPr="00223856">
        <w:rPr>
          <w:rFonts w:asciiTheme="majorHAnsi" w:hAnsiTheme="majorHAnsi"/>
        </w:rPr>
        <w:t>If a precondition to litigation is to recognize that your rights have been violated, and if only 20% of the population is literate enough to locate such information in legal documents,</w:t>
      </w:r>
      <w:r w:rsidRPr="00223856">
        <w:rPr>
          <w:rFonts w:asciiTheme="majorHAnsi" w:hAnsiTheme="majorHAnsi"/>
          <w:vertAlign w:val="superscript"/>
        </w:rPr>
        <w:footnoteReference w:id="44"/>
      </w:r>
      <w:r w:rsidRPr="00223856">
        <w:rPr>
          <w:rFonts w:asciiTheme="majorHAnsi" w:hAnsiTheme="majorHAnsi"/>
        </w:rPr>
        <w:t xml:space="preserve"> and if these skill are concentrated in the hands of the educated well-earning elite, then the access to litigation is an open access policy that benefits the elite more. Mandated disclosures, which are first and foremost enacted to help the poor, only exacerbate the cross-subsidy. The more disclosure-trained and cautious</w:t>
      </w:r>
      <w:r w:rsidR="001D4A4E">
        <w:rPr>
          <w:rFonts w:asciiTheme="majorHAnsi" w:hAnsiTheme="majorHAnsi"/>
        </w:rPr>
        <w:t xml:space="preserve"> are</w:t>
      </w:r>
      <w:r w:rsidRPr="00223856">
        <w:rPr>
          <w:rFonts w:asciiTheme="majorHAnsi" w:hAnsiTheme="majorHAnsi"/>
        </w:rPr>
        <w:t xml:space="preserve"> the readers (who are disproportionately well educated), the greater their relative advantage. </w:t>
      </w:r>
    </w:p>
    <w:p w14:paraId="6583007B" w14:textId="77777777" w:rsidR="00CC5AD2" w:rsidRPr="00223856" w:rsidRDefault="00CC5AD2" w:rsidP="00CC5AD2">
      <w:pPr>
        <w:rPr>
          <w:rFonts w:asciiTheme="majorHAnsi" w:hAnsiTheme="majorHAnsi"/>
        </w:rPr>
      </w:pPr>
    </w:p>
    <w:p w14:paraId="6DB66E22" w14:textId="77777777" w:rsidR="000C55FD" w:rsidRPr="00223856" w:rsidRDefault="005F6744" w:rsidP="001D4A4E">
      <w:pPr>
        <w:ind w:firstLine="720"/>
        <w:rPr>
          <w:rFonts w:asciiTheme="majorHAnsi" w:hAnsiTheme="majorHAnsi"/>
        </w:rPr>
      </w:pPr>
      <w:r w:rsidRPr="00223856">
        <w:rPr>
          <w:rFonts w:asciiTheme="majorHAnsi" w:hAnsiTheme="majorHAnsi"/>
        </w:rPr>
        <w:t>But weak consumers are disproportionately likely to seek remedies in court for reasons beyond their poor ability to read boilerplate</w:t>
      </w:r>
      <w:r w:rsidR="000C55FD" w:rsidRPr="00223856">
        <w:rPr>
          <w:rFonts w:asciiTheme="majorHAnsi" w:hAnsiTheme="majorHAnsi"/>
        </w:rPr>
        <w:t xml:space="preserve"> and understand their rights</w:t>
      </w:r>
      <w:r w:rsidRPr="00223856">
        <w:rPr>
          <w:rFonts w:asciiTheme="majorHAnsi" w:hAnsiTheme="majorHAnsi"/>
        </w:rPr>
        <w:t xml:space="preserve">. The poor and the less sophisticated endure more abuse and exploitation </w:t>
      </w:r>
      <w:r w:rsidR="000C55FD" w:rsidRPr="00223856">
        <w:rPr>
          <w:rFonts w:asciiTheme="majorHAnsi" w:hAnsiTheme="majorHAnsi"/>
        </w:rPr>
        <w:t>by</w:t>
      </w:r>
      <w:r w:rsidRPr="00223856">
        <w:rPr>
          <w:rFonts w:asciiTheme="majorHAnsi" w:hAnsiTheme="majorHAnsi"/>
        </w:rPr>
        <w:t xml:space="preserve"> dealing with lower quality vendors, and as a result their expectations for </w:t>
      </w:r>
      <w:r w:rsidR="000C55FD" w:rsidRPr="00223856">
        <w:rPr>
          <w:rFonts w:asciiTheme="majorHAnsi" w:hAnsiTheme="majorHAnsi"/>
        </w:rPr>
        <w:t xml:space="preserve">decent treatment—and for </w:t>
      </w:r>
      <w:r w:rsidRPr="00223856">
        <w:rPr>
          <w:rFonts w:asciiTheme="majorHAnsi" w:hAnsiTheme="majorHAnsi"/>
        </w:rPr>
        <w:t>remedies</w:t>
      </w:r>
      <w:r w:rsidR="000C55FD" w:rsidRPr="00223856">
        <w:rPr>
          <w:rFonts w:asciiTheme="majorHAnsi" w:hAnsiTheme="majorHAnsi"/>
        </w:rPr>
        <w:t xml:space="preserve"> in the event that it is not rendered—</w:t>
      </w:r>
      <w:r w:rsidR="00A641E5" w:rsidRPr="00223856">
        <w:rPr>
          <w:rFonts w:asciiTheme="majorHAnsi" w:hAnsiTheme="majorHAnsi"/>
        </w:rPr>
        <w:t>may be comparatively</w:t>
      </w:r>
      <w:r w:rsidRPr="00223856">
        <w:rPr>
          <w:rFonts w:asciiTheme="majorHAnsi" w:hAnsiTheme="majorHAnsi"/>
        </w:rPr>
        <w:t xml:space="preserve"> depressed.</w:t>
      </w:r>
      <w:r w:rsidR="003B12C3" w:rsidRPr="00223856">
        <w:rPr>
          <w:rFonts w:asciiTheme="majorHAnsi" w:hAnsiTheme="majorHAnsi"/>
          <w:vertAlign w:val="superscript"/>
        </w:rPr>
        <w:footnoteReference w:id="45"/>
      </w:r>
      <w:r w:rsidR="003B12C3" w:rsidRPr="00223856">
        <w:rPr>
          <w:rFonts w:asciiTheme="majorHAnsi" w:hAnsiTheme="majorHAnsi"/>
        </w:rPr>
        <w:t xml:space="preserve"> </w:t>
      </w:r>
      <w:r w:rsidRPr="00223856">
        <w:rPr>
          <w:rFonts w:asciiTheme="majorHAnsi" w:hAnsiTheme="majorHAnsi"/>
        </w:rPr>
        <w:t xml:space="preserve"> </w:t>
      </w:r>
    </w:p>
    <w:p w14:paraId="0AAC0D6F" w14:textId="77777777" w:rsidR="000C55FD" w:rsidRPr="00223856" w:rsidRDefault="000C55FD" w:rsidP="004919EE">
      <w:pPr>
        <w:rPr>
          <w:rFonts w:asciiTheme="majorHAnsi" w:hAnsiTheme="majorHAnsi"/>
        </w:rPr>
      </w:pPr>
    </w:p>
    <w:p w14:paraId="058C1134" w14:textId="77777777" w:rsidR="00A94F32" w:rsidRPr="00223856" w:rsidRDefault="000C55FD" w:rsidP="001D4A4E">
      <w:pPr>
        <w:ind w:firstLine="720"/>
        <w:rPr>
          <w:rFonts w:asciiTheme="majorHAnsi" w:hAnsiTheme="majorHAnsi"/>
        </w:rPr>
      </w:pPr>
      <w:r w:rsidRPr="00223856">
        <w:rPr>
          <w:rFonts w:asciiTheme="majorHAnsi" w:hAnsiTheme="majorHAnsi"/>
        </w:rPr>
        <w:t>Further, e</w:t>
      </w:r>
      <w:r w:rsidR="00EF0C30" w:rsidRPr="00223856">
        <w:rPr>
          <w:rFonts w:asciiTheme="majorHAnsi" w:hAnsiTheme="majorHAnsi"/>
        </w:rPr>
        <w:t xml:space="preserve">ven when they are defrauded, </w:t>
      </w:r>
      <w:r w:rsidRPr="00223856">
        <w:rPr>
          <w:rFonts w:asciiTheme="majorHAnsi" w:hAnsiTheme="majorHAnsi"/>
        </w:rPr>
        <w:t>the magnitudes of</w:t>
      </w:r>
      <w:r w:rsidR="00EF0C30" w:rsidRPr="00223856">
        <w:rPr>
          <w:rFonts w:asciiTheme="majorHAnsi" w:hAnsiTheme="majorHAnsi"/>
        </w:rPr>
        <w:t xml:space="preserve"> the</w:t>
      </w:r>
      <w:r w:rsidRPr="00223856">
        <w:rPr>
          <w:rFonts w:asciiTheme="majorHAnsi" w:hAnsiTheme="majorHAnsi"/>
        </w:rPr>
        <w:t>ir</w:t>
      </w:r>
      <w:r w:rsidR="00A641E5" w:rsidRPr="00223856">
        <w:rPr>
          <w:rFonts w:asciiTheme="majorHAnsi" w:hAnsiTheme="majorHAnsi"/>
        </w:rPr>
        <w:t xml:space="preserve"> claims are smaller. True, some violations of rights lead to fixed, lump-sum recovery (e.g., statutory damages), or to recovery that is independent of wealth (e.g., medical expenses). But many violations lead to losses that do depend on income.</w:t>
      </w:r>
      <w:bookmarkStart w:id="1" w:name="_Ref208567286"/>
      <w:r w:rsidR="006F1449" w:rsidRPr="00093969">
        <w:rPr>
          <w:rStyle w:val="FootnoteReference"/>
        </w:rPr>
        <w:footnoteReference w:id="46"/>
      </w:r>
      <w:bookmarkEnd w:id="1"/>
      <w:r w:rsidR="00A641E5" w:rsidRPr="00223856">
        <w:rPr>
          <w:rFonts w:asciiTheme="majorHAnsi" w:hAnsiTheme="majorHAnsi"/>
        </w:rPr>
        <w:t xml:space="preserve"> Wealthier people buy more products and pay higher prices, which account for larger nominal losses when fraud or </w:t>
      </w:r>
      <w:r w:rsidR="00A641E5" w:rsidRPr="00223856">
        <w:rPr>
          <w:rFonts w:asciiTheme="majorHAnsi" w:hAnsiTheme="majorHAnsi"/>
        </w:rPr>
        <w:lastRenderedPageBreak/>
        <w:t xml:space="preserve">violation occurs. And wealthier people may suffer larger losses when recovery is measured by earning capacity, lost income, </w:t>
      </w:r>
      <w:r w:rsidR="00A94F32" w:rsidRPr="00223856">
        <w:rPr>
          <w:rFonts w:asciiTheme="majorHAnsi" w:hAnsiTheme="majorHAnsi"/>
        </w:rPr>
        <w:t>or lost property value.</w:t>
      </w:r>
    </w:p>
    <w:p w14:paraId="697C9C01" w14:textId="77777777" w:rsidR="00A94F32" w:rsidRPr="00223856" w:rsidRDefault="00A94F32" w:rsidP="004919EE">
      <w:pPr>
        <w:rPr>
          <w:rFonts w:asciiTheme="majorHAnsi" w:hAnsiTheme="majorHAnsi"/>
        </w:rPr>
      </w:pPr>
    </w:p>
    <w:p w14:paraId="6C79C154" w14:textId="77777777" w:rsidR="000C55FD" w:rsidRPr="00223856" w:rsidRDefault="00A94F32" w:rsidP="001D4A4E">
      <w:pPr>
        <w:ind w:firstLine="720"/>
        <w:rPr>
          <w:rFonts w:asciiTheme="majorHAnsi" w:hAnsiTheme="majorHAnsi"/>
        </w:rPr>
      </w:pPr>
      <w:r w:rsidRPr="00223856">
        <w:rPr>
          <w:rFonts w:asciiTheme="majorHAnsi" w:hAnsiTheme="majorHAnsi"/>
        </w:rPr>
        <w:t xml:space="preserve">If the poor have lower nominal claims, they become </w:t>
      </w:r>
      <w:r w:rsidR="00EF0C30" w:rsidRPr="00223856">
        <w:rPr>
          <w:rFonts w:asciiTheme="majorHAnsi" w:hAnsiTheme="majorHAnsi"/>
        </w:rPr>
        <w:t xml:space="preserve">less attractive </w:t>
      </w:r>
      <w:r w:rsidR="000C55FD" w:rsidRPr="00223856">
        <w:rPr>
          <w:rFonts w:asciiTheme="majorHAnsi" w:hAnsiTheme="majorHAnsi"/>
        </w:rPr>
        <w:t>clients for</w:t>
      </w:r>
      <w:r w:rsidR="00EF0C30" w:rsidRPr="00223856">
        <w:rPr>
          <w:rFonts w:asciiTheme="majorHAnsi" w:hAnsiTheme="majorHAnsi"/>
        </w:rPr>
        <w:t xml:space="preserve"> attorneys</w:t>
      </w:r>
      <w:r w:rsidR="00897E72" w:rsidRPr="00223856">
        <w:rPr>
          <w:rFonts w:asciiTheme="majorHAnsi" w:hAnsiTheme="majorHAnsi"/>
        </w:rPr>
        <w:t>. As it is, there is evidence that only 5% of individuals with claims who seek private representation are able to obtain counsel.</w:t>
      </w:r>
      <w:r w:rsidR="00897E72" w:rsidRPr="00093969">
        <w:rPr>
          <w:rStyle w:val="FootnoteReference"/>
        </w:rPr>
        <w:footnoteReference w:id="47"/>
      </w:r>
      <w:r w:rsidR="00897E72" w:rsidRPr="00223856">
        <w:rPr>
          <w:rFonts w:asciiTheme="majorHAnsi" w:hAnsiTheme="majorHAnsi"/>
        </w:rPr>
        <w:t xml:space="preserve"> Low claims</w:t>
      </w:r>
      <w:r w:rsidR="000C55FD" w:rsidRPr="00223856">
        <w:rPr>
          <w:rFonts w:asciiTheme="majorHAnsi" w:hAnsiTheme="majorHAnsi"/>
        </w:rPr>
        <w:t xml:space="preserve"> leave less net recovery once litigation costs are accounted for</w:t>
      </w:r>
      <w:r w:rsidR="00A17958" w:rsidRPr="00223856">
        <w:rPr>
          <w:rFonts w:asciiTheme="majorHAnsi" w:hAnsiTheme="majorHAnsi"/>
        </w:rPr>
        <w:t xml:space="preserve"> (and there is plenty of evidence that litigation indeed takes longer than arbitration,</w:t>
      </w:r>
      <w:r w:rsidR="00362778" w:rsidRPr="00223856">
        <w:rPr>
          <w:rFonts w:asciiTheme="majorHAnsi" w:hAnsiTheme="majorHAnsi"/>
        </w:rPr>
        <w:t xml:space="preserve"> and</w:t>
      </w:r>
      <w:r w:rsidR="00A17958" w:rsidRPr="00223856">
        <w:rPr>
          <w:rFonts w:asciiTheme="majorHAnsi" w:hAnsiTheme="majorHAnsi"/>
        </w:rPr>
        <w:t xml:space="preserve"> although the possibility of settlements blurs the empirical comparison</w:t>
      </w:r>
      <w:r w:rsidR="00362778" w:rsidRPr="00223856">
        <w:rPr>
          <w:rFonts w:asciiTheme="majorHAnsi" w:hAnsiTheme="majorHAnsi"/>
        </w:rPr>
        <w:t>, settlements in the shadow of costly litigation are likely to be stingier</w:t>
      </w:r>
      <w:r w:rsidR="00A17958" w:rsidRPr="00223856">
        <w:rPr>
          <w:rFonts w:asciiTheme="majorHAnsi" w:hAnsiTheme="majorHAnsi"/>
        </w:rPr>
        <w:t>)</w:t>
      </w:r>
      <w:r w:rsidR="00EF0C30" w:rsidRPr="00223856">
        <w:rPr>
          <w:rFonts w:asciiTheme="majorHAnsi" w:hAnsiTheme="majorHAnsi"/>
        </w:rPr>
        <w:t>.</w:t>
      </w:r>
      <w:bookmarkStart w:id="2" w:name="_Ref208567147"/>
      <w:r w:rsidR="00A17958" w:rsidRPr="00093969">
        <w:rPr>
          <w:rStyle w:val="FootnoteReference"/>
        </w:rPr>
        <w:footnoteReference w:id="48"/>
      </w:r>
      <w:bookmarkEnd w:id="2"/>
      <w:r w:rsidR="00EF0C30" w:rsidRPr="00223856">
        <w:rPr>
          <w:rFonts w:asciiTheme="majorHAnsi" w:hAnsiTheme="majorHAnsi"/>
        </w:rPr>
        <w:t xml:space="preserve"> And among </w:t>
      </w:r>
      <w:r w:rsidR="00897E72" w:rsidRPr="00223856">
        <w:rPr>
          <w:rFonts w:asciiTheme="majorHAnsi" w:hAnsiTheme="majorHAnsi"/>
        </w:rPr>
        <w:t>people</w:t>
      </w:r>
      <w:r w:rsidR="00EF0C30" w:rsidRPr="00223856">
        <w:rPr>
          <w:rFonts w:asciiTheme="majorHAnsi" w:hAnsiTheme="majorHAnsi"/>
        </w:rPr>
        <w:t xml:space="preserve"> who </w:t>
      </w:r>
      <w:r w:rsidR="000C55FD" w:rsidRPr="00223856">
        <w:rPr>
          <w:rFonts w:asciiTheme="majorHAnsi" w:hAnsiTheme="majorHAnsi"/>
        </w:rPr>
        <w:t xml:space="preserve">go to court and </w:t>
      </w:r>
      <w:r w:rsidR="00EF0C30" w:rsidRPr="00223856">
        <w:rPr>
          <w:rFonts w:asciiTheme="majorHAnsi" w:hAnsiTheme="majorHAnsi"/>
        </w:rPr>
        <w:t>self-represent, the poor and less educated are</w:t>
      </w:r>
      <w:r w:rsidR="000C55FD" w:rsidRPr="00223856">
        <w:rPr>
          <w:rFonts w:asciiTheme="majorHAnsi" w:hAnsiTheme="majorHAnsi"/>
        </w:rPr>
        <w:t xml:space="preserve"> also</w:t>
      </w:r>
      <w:r w:rsidR="00EF0C30" w:rsidRPr="00223856">
        <w:rPr>
          <w:rFonts w:asciiTheme="majorHAnsi" w:hAnsiTheme="majorHAnsi"/>
        </w:rPr>
        <w:t xml:space="preserve"> less effective in </w:t>
      </w:r>
      <w:r w:rsidR="000C55FD" w:rsidRPr="00223856">
        <w:rPr>
          <w:rFonts w:asciiTheme="majorHAnsi" w:hAnsiTheme="majorHAnsi"/>
        </w:rPr>
        <w:t>advocating</w:t>
      </w:r>
      <w:r w:rsidR="00EF0C30" w:rsidRPr="00223856">
        <w:rPr>
          <w:rFonts w:asciiTheme="majorHAnsi" w:hAnsiTheme="majorHAnsi"/>
        </w:rPr>
        <w:t xml:space="preserve"> their claims. </w:t>
      </w:r>
      <w:r w:rsidR="00F23375" w:rsidRPr="00223856">
        <w:rPr>
          <w:rFonts w:asciiTheme="majorHAnsi" w:hAnsiTheme="majorHAnsi"/>
        </w:rPr>
        <w:t>There is some important evidence that litigation is a cost effective dispute resolution strategy only for high-stake claims. Most poor consumers don’t have such claims; their small cases are cheaper to pursue in arbitration.</w:t>
      </w:r>
      <w:r w:rsidR="00F23375" w:rsidRPr="00093969">
        <w:rPr>
          <w:rStyle w:val="FootnoteReference"/>
        </w:rPr>
        <w:footnoteReference w:id="49"/>
      </w:r>
    </w:p>
    <w:p w14:paraId="15FAB418" w14:textId="77777777" w:rsidR="000C55FD" w:rsidRPr="00223856" w:rsidRDefault="000C55FD" w:rsidP="004919EE">
      <w:pPr>
        <w:rPr>
          <w:rFonts w:asciiTheme="majorHAnsi" w:hAnsiTheme="majorHAnsi"/>
        </w:rPr>
      </w:pPr>
    </w:p>
    <w:p w14:paraId="4DDBCADE" w14:textId="77777777" w:rsidR="005F6744" w:rsidRPr="00223856" w:rsidRDefault="000C55FD" w:rsidP="001D4A4E">
      <w:pPr>
        <w:ind w:firstLine="720"/>
        <w:rPr>
          <w:rFonts w:asciiTheme="majorHAnsi" w:hAnsiTheme="majorHAnsi"/>
        </w:rPr>
      </w:pPr>
      <w:r w:rsidRPr="00223856">
        <w:rPr>
          <w:rFonts w:asciiTheme="majorHAnsi" w:hAnsiTheme="majorHAnsi"/>
        </w:rPr>
        <w:t>Moreover</w:t>
      </w:r>
      <w:r w:rsidR="00EF0C30" w:rsidRPr="00223856">
        <w:rPr>
          <w:rFonts w:asciiTheme="majorHAnsi" w:hAnsiTheme="majorHAnsi"/>
        </w:rPr>
        <w:t xml:space="preserve">, courts operate slowly and court-awarded remedies take time to secure. The higher the </w:t>
      </w:r>
      <w:r w:rsidRPr="00223856">
        <w:rPr>
          <w:rFonts w:asciiTheme="majorHAnsi" w:hAnsiTheme="majorHAnsi"/>
        </w:rPr>
        <w:t xml:space="preserve">consumer/plaintiff’s </w:t>
      </w:r>
      <w:r w:rsidR="00EF0C30" w:rsidRPr="00223856">
        <w:rPr>
          <w:rFonts w:asciiTheme="majorHAnsi" w:hAnsiTheme="majorHAnsi"/>
        </w:rPr>
        <w:t xml:space="preserve">discount </w:t>
      </w:r>
      <w:r w:rsidRPr="00223856">
        <w:rPr>
          <w:rFonts w:asciiTheme="majorHAnsi" w:hAnsiTheme="majorHAnsi"/>
        </w:rPr>
        <w:t>rate</w:t>
      </w:r>
      <w:r w:rsidR="00EF0C30" w:rsidRPr="00223856">
        <w:rPr>
          <w:rFonts w:asciiTheme="majorHAnsi" w:hAnsiTheme="majorHAnsi"/>
        </w:rPr>
        <w:t>, the less valuable is the delayed recovery (even i</w:t>
      </w:r>
      <w:r w:rsidR="00C50836" w:rsidRPr="00223856">
        <w:rPr>
          <w:rFonts w:asciiTheme="majorHAnsi" w:hAnsiTheme="majorHAnsi"/>
        </w:rPr>
        <w:t xml:space="preserve">f it is compounded by interest), and the more </w:t>
      </w:r>
      <w:r w:rsidR="00FA276C" w:rsidRPr="00223856">
        <w:rPr>
          <w:rFonts w:asciiTheme="majorHAnsi" w:hAnsiTheme="majorHAnsi"/>
        </w:rPr>
        <w:t>amenable the consumer to accept a small settlement rather than “vindicate” his legal rights in trial</w:t>
      </w:r>
      <w:r w:rsidR="00C50836" w:rsidRPr="00223856">
        <w:rPr>
          <w:rFonts w:asciiTheme="majorHAnsi" w:hAnsiTheme="majorHAnsi"/>
        </w:rPr>
        <w:t xml:space="preserve">. </w:t>
      </w:r>
    </w:p>
    <w:p w14:paraId="040291CD" w14:textId="77777777" w:rsidR="00C479A1" w:rsidRPr="00223856" w:rsidRDefault="00C479A1" w:rsidP="004919EE">
      <w:pPr>
        <w:rPr>
          <w:rFonts w:asciiTheme="majorHAnsi" w:hAnsiTheme="majorHAnsi"/>
        </w:rPr>
      </w:pPr>
    </w:p>
    <w:p w14:paraId="71A00F34" w14:textId="77777777" w:rsidR="001D4A4E" w:rsidRDefault="00C479A1" w:rsidP="001D4A4E">
      <w:pPr>
        <w:ind w:firstLine="720"/>
        <w:rPr>
          <w:rFonts w:asciiTheme="majorHAnsi" w:hAnsiTheme="majorHAnsi"/>
        </w:rPr>
      </w:pPr>
      <w:r w:rsidRPr="00223856">
        <w:rPr>
          <w:rFonts w:asciiTheme="majorHAnsi" w:hAnsiTheme="majorHAnsi"/>
        </w:rPr>
        <w:t>Finally, litigation is risky business. The greater uncertainty there is about the outcome of litigation, the less beneficial it is to risk averse plaintiffs, who would either accept lower settlements or drop their suits altogether.</w:t>
      </w:r>
      <w:r w:rsidRPr="00093969">
        <w:rPr>
          <w:rStyle w:val="FootnoteReference"/>
        </w:rPr>
        <w:footnoteReference w:id="50"/>
      </w:r>
      <w:r w:rsidRPr="00223856">
        <w:rPr>
          <w:rFonts w:asciiTheme="majorHAnsi" w:hAnsiTheme="majorHAnsi"/>
        </w:rPr>
        <w:t xml:space="preserve"> It is widely accepted that poorer individuals exhibit higher degrees of risk aversion,</w:t>
      </w:r>
      <w:r w:rsidRPr="00093969">
        <w:rPr>
          <w:rStyle w:val="FootnoteReference"/>
        </w:rPr>
        <w:footnoteReference w:id="51"/>
      </w:r>
      <w:r w:rsidRPr="00223856">
        <w:rPr>
          <w:rFonts w:asciiTheme="majorHAnsi" w:hAnsiTheme="majorHAnsi"/>
        </w:rPr>
        <w:t xml:space="preserve"> and </w:t>
      </w:r>
      <w:r w:rsidR="00A3448C" w:rsidRPr="00223856">
        <w:rPr>
          <w:rFonts w:asciiTheme="majorHAnsi" w:hAnsiTheme="majorHAnsi"/>
        </w:rPr>
        <w:t xml:space="preserve">thus value the prospect of the </w:t>
      </w:r>
      <w:r w:rsidRPr="00223856">
        <w:rPr>
          <w:rFonts w:asciiTheme="majorHAnsi" w:hAnsiTheme="majorHAnsi"/>
        </w:rPr>
        <w:t>litigation</w:t>
      </w:r>
      <w:r w:rsidR="00A3448C" w:rsidRPr="00223856">
        <w:rPr>
          <w:rFonts w:asciiTheme="majorHAnsi" w:hAnsiTheme="majorHAnsi"/>
        </w:rPr>
        <w:t xml:space="preserve"> “damages lottery” less</w:t>
      </w:r>
      <w:r w:rsidRPr="00223856">
        <w:rPr>
          <w:rFonts w:asciiTheme="majorHAnsi" w:hAnsiTheme="majorHAnsi"/>
        </w:rPr>
        <w:t>.</w:t>
      </w:r>
    </w:p>
    <w:p w14:paraId="247444C3" w14:textId="77777777" w:rsidR="001D4A4E" w:rsidRDefault="001D4A4E" w:rsidP="001D4A4E">
      <w:pPr>
        <w:ind w:firstLine="720"/>
        <w:rPr>
          <w:rFonts w:asciiTheme="majorHAnsi" w:hAnsiTheme="majorHAnsi"/>
        </w:rPr>
      </w:pPr>
    </w:p>
    <w:p w14:paraId="1B7EC4E2" w14:textId="77777777" w:rsidR="00FA276C" w:rsidRPr="00223856" w:rsidRDefault="00C50836" w:rsidP="001D4A4E">
      <w:pPr>
        <w:ind w:firstLine="720"/>
        <w:rPr>
          <w:rFonts w:asciiTheme="majorHAnsi" w:hAnsiTheme="majorHAnsi"/>
        </w:rPr>
      </w:pPr>
      <w:r w:rsidRPr="00223856">
        <w:rPr>
          <w:rFonts w:asciiTheme="majorHAnsi" w:hAnsiTheme="majorHAnsi"/>
        </w:rPr>
        <w:t>All this suggests that the litigation right would be more valuable, and more commonly employed, with better returns</w:t>
      </w:r>
      <w:r w:rsidR="00FA276C" w:rsidRPr="00223856">
        <w:rPr>
          <w:rFonts w:asciiTheme="majorHAnsi" w:hAnsiTheme="majorHAnsi"/>
        </w:rPr>
        <w:t xml:space="preserve"> and larger settlements</w:t>
      </w:r>
      <w:r w:rsidRPr="00223856">
        <w:rPr>
          <w:rFonts w:asciiTheme="majorHAnsi" w:hAnsiTheme="majorHAnsi"/>
        </w:rPr>
        <w:t xml:space="preserve">, by </w:t>
      </w:r>
      <w:r w:rsidR="00FA276C" w:rsidRPr="00223856">
        <w:rPr>
          <w:rFonts w:asciiTheme="majorHAnsi" w:hAnsiTheme="majorHAnsi"/>
        </w:rPr>
        <w:t xml:space="preserve">strong </w:t>
      </w:r>
      <w:r w:rsidRPr="00223856">
        <w:rPr>
          <w:rFonts w:asciiTheme="majorHAnsi" w:hAnsiTheme="majorHAnsi"/>
        </w:rPr>
        <w:t>consumers—those who know their rights and can effectively pursue them</w:t>
      </w:r>
      <w:r w:rsidR="00FA276C" w:rsidRPr="00223856">
        <w:rPr>
          <w:rFonts w:asciiTheme="majorHAnsi" w:hAnsiTheme="majorHAnsi"/>
        </w:rPr>
        <w:t xml:space="preserve"> against a sophisticated business opponent</w:t>
      </w:r>
      <w:r w:rsidRPr="00223856">
        <w:rPr>
          <w:rFonts w:asciiTheme="majorHAnsi" w:hAnsiTheme="majorHAnsi"/>
        </w:rPr>
        <w:t xml:space="preserve">. </w:t>
      </w:r>
      <w:r w:rsidR="000823B1" w:rsidRPr="00223856">
        <w:rPr>
          <w:rFonts w:asciiTheme="majorHAnsi" w:hAnsiTheme="majorHAnsi"/>
        </w:rPr>
        <w:t xml:space="preserve">This conclusion is consistent with empirical findings in the area of employee claims—where even when litigation is </w:t>
      </w:r>
      <w:r w:rsidR="00A94F32" w:rsidRPr="00223856">
        <w:rPr>
          <w:rFonts w:asciiTheme="majorHAnsi" w:hAnsiTheme="majorHAnsi"/>
        </w:rPr>
        <w:t>permitt</w:t>
      </w:r>
      <w:r w:rsidR="00B15026" w:rsidRPr="00223856">
        <w:rPr>
          <w:rFonts w:asciiTheme="majorHAnsi" w:hAnsiTheme="majorHAnsi"/>
        </w:rPr>
        <w:t xml:space="preserve">ed (that is, not </w:t>
      </w:r>
      <w:r w:rsidR="00B15026" w:rsidRPr="00223856">
        <w:rPr>
          <w:rFonts w:asciiTheme="majorHAnsi" w:hAnsiTheme="majorHAnsi"/>
        </w:rPr>
        <w:lastRenderedPageBreak/>
        <w:t>barred by pre-d</w:t>
      </w:r>
      <w:r w:rsidR="00A94F32" w:rsidRPr="00223856">
        <w:rPr>
          <w:rFonts w:asciiTheme="majorHAnsi" w:hAnsiTheme="majorHAnsi"/>
        </w:rPr>
        <w:t>ispute arbitration clauses)</w:t>
      </w:r>
      <w:r w:rsidR="00A3448C" w:rsidRPr="00223856">
        <w:rPr>
          <w:rFonts w:asciiTheme="majorHAnsi" w:hAnsiTheme="majorHAnsi"/>
        </w:rPr>
        <w:t>, there are almost no cases of successful</w:t>
      </w:r>
      <w:r w:rsidR="000823B1" w:rsidRPr="00223856">
        <w:rPr>
          <w:rFonts w:asciiTheme="majorHAnsi" w:hAnsiTheme="majorHAnsi"/>
        </w:rPr>
        <w:t xml:space="preserve"> litigation commenced by lower-paid </w:t>
      </w:r>
      <w:proofErr w:type="gramStart"/>
      <w:r w:rsidR="000823B1" w:rsidRPr="00223856">
        <w:rPr>
          <w:rFonts w:asciiTheme="majorHAnsi" w:hAnsiTheme="majorHAnsi"/>
        </w:rPr>
        <w:t>wage workers</w:t>
      </w:r>
      <w:proofErr w:type="gramEnd"/>
      <w:r w:rsidR="000823B1" w:rsidRPr="00223856">
        <w:rPr>
          <w:rFonts w:asciiTheme="majorHAnsi" w:hAnsiTheme="majorHAnsi"/>
        </w:rPr>
        <w:t xml:space="preserve">. Eisenberg and Hill </w:t>
      </w:r>
      <w:r w:rsidR="00A94F32" w:rsidRPr="00223856">
        <w:rPr>
          <w:rFonts w:asciiTheme="majorHAnsi" w:hAnsiTheme="majorHAnsi"/>
        </w:rPr>
        <w:t>argue</w:t>
      </w:r>
      <w:r w:rsidR="000823B1" w:rsidRPr="00223856">
        <w:rPr>
          <w:rFonts w:asciiTheme="majorHAnsi" w:hAnsiTheme="majorHAnsi"/>
        </w:rPr>
        <w:t xml:space="preserve"> that “</w:t>
      </w:r>
      <w:r w:rsidR="000823B1" w:rsidRPr="00223856">
        <w:rPr>
          <w:rFonts w:asciiTheme="majorHAnsi" w:hAnsiTheme="majorHAnsi" w:cs="Times"/>
          <w:color w:val="000000"/>
        </w:rPr>
        <w:t>the absence of cases of this type is likely explained by the fact that lower-paid employees seem to lack ready access to court, as other researchers have reported.”</w:t>
      </w:r>
      <w:r w:rsidR="000823B1" w:rsidRPr="00093969">
        <w:rPr>
          <w:rStyle w:val="FootnoteReference"/>
        </w:rPr>
        <w:footnoteReference w:id="52"/>
      </w:r>
      <w:r w:rsidR="000823B1" w:rsidRPr="00223856">
        <w:rPr>
          <w:rFonts w:asciiTheme="majorHAnsi" w:hAnsiTheme="majorHAnsi" w:cs="Times"/>
          <w:color w:val="000000"/>
        </w:rPr>
        <w:t xml:space="preserve"> </w:t>
      </w:r>
      <w:r w:rsidR="00897E72" w:rsidRPr="00223856">
        <w:rPr>
          <w:rFonts w:asciiTheme="majorHAnsi" w:hAnsiTheme="majorHAnsi" w:cs="Times"/>
          <w:color w:val="000000"/>
        </w:rPr>
        <w:t>Hill concluded that for employees with income below $60,000 litigation is unrealistic, whereas arbitration is.</w:t>
      </w:r>
      <w:r w:rsidR="00897E72" w:rsidRPr="00093969">
        <w:rPr>
          <w:rStyle w:val="FootnoteReference"/>
        </w:rPr>
        <w:footnoteReference w:id="53"/>
      </w:r>
      <w:r w:rsidR="00897E72" w:rsidRPr="00223856">
        <w:rPr>
          <w:rFonts w:asciiTheme="majorHAnsi" w:hAnsiTheme="majorHAnsi" w:cs="Times"/>
          <w:color w:val="000000"/>
        </w:rPr>
        <w:t xml:space="preserve"> </w:t>
      </w:r>
      <w:r w:rsidR="00B15026" w:rsidRPr="00223856">
        <w:rPr>
          <w:rFonts w:asciiTheme="majorHAnsi" w:hAnsiTheme="majorHAnsi" w:cs="Times"/>
          <w:color w:val="000000"/>
        </w:rPr>
        <w:t>And St. Antoine reports that defendants “wait out most smaller claims, assuming employees will not be able to pursue them in court.”</w:t>
      </w:r>
      <w:r w:rsidR="00B15026" w:rsidRPr="00093969">
        <w:rPr>
          <w:rStyle w:val="FootnoteReference"/>
        </w:rPr>
        <w:footnoteReference w:id="54"/>
      </w:r>
      <w:r w:rsidR="00B15026" w:rsidRPr="00223856">
        <w:rPr>
          <w:rFonts w:asciiTheme="majorHAnsi" w:hAnsiTheme="majorHAnsi" w:cs="Times"/>
          <w:color w:val="000000"/>
        </w:rPr>
        <w:t xml:space="preserve"> </w:t>
      </w:r>
      <w:r w:rsidR="000823B1" w:rsidRPr="00223856">
        <w:rPr>
          <w:rFonts w:asciiTheme="majorHAnsi" w:hAnsiTheme="majorHAnsi" w:cs="Times"/>
          <w:color w:val="000000"/>
        </w:rPr>
        <w:t>Arbitration is more accessible to low-wage claimants, who are less likely to utilize the litigation option even when it exists</w:t>
      </w:r>
      <w:r w:rsidR="00A3448C" w:rsidRPr="00223856">
        <w:rPr>
          <w:rFonts w:asciiTheme="majorHAnsi" w:hAnsiTheme="majorHAnsi" w:cs="Times"/>
          <w:color w:val="000000"/>
        </w:rPr>
        <w:t>. If this employment-dispute</w:t>
      </w:r>
      <w:r w:rsidR="001D4A4E">
        <w:rPr>
          <w:rFonts w:asciiTheme="majorHAnsi" w:hAnsiTheme="majorHAnsi" w:cs="Times"/>
          <w:color w:val="000000"/>
        </w:rPr>
        <w:t xml:space="preserve"> resolution</w:t>
      </w:r>
      <w:r w:rsidR="00A3448C" w:rsidRPr="00223856">
        <w:rPr>
          <w:rFonts w:asciiTheme="majorHAnsi" w:hAnsiTheme="majorHAnsi" w:cs="Times"/>
          <w:color w:val="000000"/>
        </w:rPr>
        <w:t xml:space="preserve"> pattern is general and applies also in other consumer claims, it provides important indication that the access to litigation deals </w:t>
      </w:r>
      <w:r w:rsidR="001D4A4E">
        <w:rPr>
          <w:rFonts w:asciiTheme="majorHAnsi" w:hAnsiTheme="majorHAnsi" w:cs="Times"/>
          <w:color w:val="000000"/>
        </w:rPr>
        <w:t>a disproportionate</w:t>
      </w:r>
      <w:r w:rsidR="00A3448C" w:rsidRPr="00223856">
        <w:rPr>
          <w:rFonts w:asciiTheme="majorHAnsi" w:hAnsiTheme="majorHAnsi" w:cs="Times"/>
          <w:color w:val="000000"/>
        </w:rPr>
        <w:t xml:space="preserve"> ex-post benefit to high-wage, high-claim plaintiffs.</w:t>
      </w:r>
    </w:p>
    <w:p w14:paraId="6953D5FC" w14:textId="77777777" w:rsidR="00FA276C" w:rsidRPr="00223856" w:rsidRDefault="00FA276C" w:rsidP="006A68E2">
      <w:pPr>
        <w:rPr>
          <w:rFonts w:asciiTheme="majorHAnsi" w:hAnsiTheme="majorHAnsi"/>
        </w:rPr>
      </w:pPr>
    </w:p>
    <w:p w14:paraId="5045141D" w14:textId="77777777" w:rsidR="00A94F32" w:rsidRPr="001A16A6" w:rsidRDefault="00A94F32" w:rsidP="00A94F32">
      <w:pPr>
        <w:pStyle w:val="ListParagraph"/>
        <w:numPr>
          <w:ilvl w:val="0"/>
          <w:numId w:val="8"/>
        </w:numPr>
        <w:rPr>
          <w:rFonts w:asciiTheme="majorHAnsi" w:hAnsiTheme="majorHAnsi"/>
          <w:i/>
        </w:rPr>
      </w:pPr>
      <w:r w:rsidRPr="001A16A6">
        <w:rPr>
          <w:rFonts w:asciiTheme="majorHAnsi" w:hAnsiTheme="majorHAnsi"/>
          <w:i/>
        </w:rPr>
        <w:t>Who Pays for Access to Litigation?</w:t>
      </w:r>
    </w:p>
    <w:p w14:paraId="05218823" w14:textId="77777777" w:rsidR="00A94F32" w:rsidRPr="00223856" w:rsidRDefault="00A94F32" w:rsidP="00A94F32">
      <w:pPr>
        <w:pStyle w:val="ListParagraph"/>
        <w:rPr>
          <w:rFonts w:asciiTheme="majorHAnsi" w:hAnsiTheme="majorHAnsi"/>
        </w:rPr>
      </w:pPr>
    </w:p>
    <w:p w14:paraId="727053E5" w14:textId="77777777" w:rsidR="00811FA1" w:rsidRPr="00223856" w:rsidRDefault="00A94F32" w:rsidP="001D4A4E">
      <w:pPr>
        <w:ind w:firstLine="720"/>
        <w:rPr>
          <w:rFonts w:asciiTheme="majorHAnsi" w:hAnsiTheme="majorHAnsi"/>
        </w:rPr>
      </w:pPr>
      <w:r w:rsidRPr="00223856">
        <w:rPr>
          <w:rFonts w:asciiTheme="majorHAnsi" w:hAnsiTheme="majorHAnsi"/>
        </w:rPr>
        <w:t xml:space="preserve">If Litigation is disproportionately accessed by sophisticated elites, it </w:t>
      </w:r>
      <w:r w:rsidR="00811FA1" w:rsidRPr="00223856">
        <w:rPr>
          <w:rFonts w:asciiTheme="majorHAnsi" w:hAnsiTheme="majorHAnsi"/>
        </w:rPr>
        <w:t xml:space="preserve">is regressive in the weak sense—a benefit that the poor utilize at a </w:t>
      </w:r>
      <w:r w:rsidR="00C0346A">
        <w:rPr>
          <w:rFonts w:asciiTheme="majorHAnsi" w:hAnsiTheme="majorHAnsi"/>
        </w:rPr>
        <w:t>relatively</w:t>
      </w:r>
      <w:r w:rsidR="00811FA1" w:rsidRPr="00223856">
        <w:rPr>
          <w:rFonts w:asciiTheme="majorHAnsi" w:hAnsiTheme="majorHAnsi"/>
        </w:rPr>
        <w:t xml:space="preserve"> low rate.</w:t>
      </w:r>
      <w:r w:rsidRPr="00223856">
        <w:rPr>
          <w:rFonts w:asciiTheme="majorHAnsi" w:hAnsiTheme="majorHAnsi"/>
        </w:rPr>
        <w:t xml:space="preserve"> For Litigation acces</w:t>
      </w:r>
      <w:r w:rsidR="00811FA1" w:rsidRPr="00223856">
        <w:rPr>
          <w:rFonts w:asciiTheme="majorHAnsi" w:hAnsiTheme="majorHAnsi"/>
        </w:rPr>
        <w:t xml:space="preserve">s to be regressive in the stronger sense—increasing the overall degree of inequality in income and welfare—the poor have to bear the cost of litigation at a rate exceeding their utilization of it. That is, </w:t>
      </w:r>
      <w:r w:rsidR="00C50836" w:rsidRPr="00223856">
        <w:rPr>
          <w:rFonts w:asciiTheme="majorHAnsi" w:hAnsiTheme="majorHAnsi"/>
        </w:rPr>
        <w:t xml:space="preserve">the added </w:t>
      </w:r>
      <w:r w:rsidR="00FA276C" w:rsidRPr="00223856">
        <w:rPr>
          <w:rFonts w:asciiTheme="majorHAnsi" w:hAnsiTheme="majorHAnsi"/>
        </w:rPr>
        <w:t>recovery</w:t>
      </w:r>
      <w:r w:rsidR="00C50836" w:rsidRPr="00223856">
        <w:rPr>
          <w:rFonts w:asciiTheme="majorHAnsi" w:hAnsiTheme="majorHAnsi"/>
        </w:rPr>
        <w:t xml:space="preserve"> enjoyed by </w:t>
      </w:r>
      <w:r w:rsidR="00811FA1" w:rsidRPr="00223856">
        <w:rPr>
          <w:rFonts w:asciiTheme="majorHAnsi" w:hAnsiTheme="majorHAnsi"/>
        </w:rPr>
        <w:t>the</w:t>
      </w:r>
      <w:r w:rsidR="00C50836" w:rsidRPr="00223856">
        <w:rPr>
          <w:rFonts w:asciiTheme="majorHAnsi" w:hAnsiTheme="majorHAnsi"/>
        </w:rPr>
        <w:t xml:space="preserve"> elite</w:t>
      </w:r>
      <w:r w:rsidR="00FA276C" w:rsidRPr="00223856">
        <w:rPr>
          <w:rFonts w:asciiTheme="majorHAnsi" w:hAnsiTheme="majorHAnsi"/>
        </w:rPr>
        <w:t xml:space="preserve"> group of consumers</w:t>
      </w:r>
      <w:r w:rsidR="00C50836" w:rsidRPr="00223856">
        <w:rPr>
          <w:rFonts w:asciiTheme="majorHAnsi" w:hAnsiTheme="majorHAnsi"/>
        </w:rPr>
        <w:t xml:space="preserve"> </w:t>
      </w:r>
      <w:r w:rsidR="00A3448C" w:rsidRPr="00223856">
        <w:rPr>
          <w:rFonts w:asciiTheme="majorHAnsi" w:hAnsiTheme="majorHAnsi"/>
        </w:rPr>
        <w:t>has to be</w:t>
      </w:r>
      <w:r w:rsidR="00C50836" w:rsidRPr="00223856">
        <w:rPr>
          <w:rFonts w:asciiTheme="majorHAnsi" w:hAnsiTheme="majorHAnsi"/>
        </w:rPr>
        <w:t xml:space="preserve"> financed, at least in part, by the</w:t>
      </w:r>
      <w:r w:rsidR="006A68E2" w:rsidRPr="00223856">
        <w:rPr>
          <w:rFonts w:asciiTheme="majorHAnsi" w:hAnsiTheme="majorHAnsi"/>
        </w:rPr>
        <w:t xml:space="preserve"> poor and unsophisticated consu</w:t>
      </w:r>
      <w:r w:rsidR="00C50836" w:rsidRPr="00223856">
        <w:rPr>
          <w:rFonts w:asciiTheme="majorHAnsi" w:hAnsiTheme="majorHAnsi"/>
        </w:rPr>
        <w:t>m</w:t>
      </w:r>
      <w:r w:rsidR="006A68E2" w:rsidRPr="00223856">
        <w:rPr>
          <w:rFonts w:asciiTheme="majorHAnsi" w:hAnsiTheme="majorHAnsi"/>
        </w:rPr>
        <w:t>e</w:t>
      </w:r>
      <w:r w:rsidR="00C50836" w:rsidRPr="00223856">
        <w:rPr>
          <w:rFonts w:asciiTheme="majorHAnsi" w:hAnsiTheme="majorHAnsi"/>
        </w:rPr>
        <w:t>rs.</w:t>
      </w:r>
      <w:r w:rsidR="006A68E2" w:rsidRPr="00223856">
        <w:rPr>
          <w:rFonts w:asciiTheme="majorHAnsi" w:hAnsiTheme="majorHAnsi"/>
        </w:rPr>
        <w:t xml:space="preserve"> </w:t>
      </w:r>
    </w:p>
    <w:p w14:paraId="5A4F6656" w14:textId="77777777" w:rsidR="00811FA1" w:rsidRPr="00223856" w:rsidRDefault="00811FA1" w:rsidP="006A68E2">
      <w:pPr>
        <w:rPr>
          <w:rFonts w:asciiTheme="majorHAnsi" w:hAnsiTheme="majorHAnsi"/>
        </w:rPr>
      </w:pPr>
    </w:p>
    <w:p w14:paraId="3315CBAF" w14:textId="77777777" w:rsidR="0070678C" w:rsidRPr="00223856" w:rsidRDefault="00811FA1" w:rsidP="00C0346A">
      <w:pPr>
        <w:ind w:firstLine="720"/>
        <w:rPr>
          <w:rFonts w:asciiTheme="majorHAnsi" w:hAnsiTheme="majorHAnsi"/>
        </w:rPr>
      </w:pPr>
      <w:r w:rsidRPr="00223856">
        <w:rPr>
          <w:rFonts w:asciiTheme="majorHAnsi" w:hAnsiTheme="majorHAnsi"/>
        </w:rPr>
        <w:t>Here, I can only make several conjectures. First, let</w:t>
      </w:r>
      <w:r w:rsidR="00FA276C" w:rsidRPr="00223856">
        <w:rPr>
          <w:rFonts w:asciiTheme="majorHAnsi" w:hAnsiTheme="majorHAnsi"/>
        </w:rPr>
        <w:t xml:space="preserve"> us </w:t>
      </w:r>
      <w:r w:rsidRPr="00223856">
        <w:rPr>
          <w:rFonts w:asciiTheme="majorHAnsi" w:hAnsiTheme="majorHAnsi"/>
        </w:rPr>
        <w:t>return</w:t>
      </w:r>
      <w:r w:rsidR="00FA276C" w:rsidRPr="00223856">
        <w:rPr>
          <w:rFonts w:asciiTheme="majorHAnsi" w:hAnsiTheme="majorHAnsi"/>
        </w:rPr>
        <w:t xml:space="preserve"> to the assumption mentioned at the outset of this </w:t>
      </w:r>
      <w:r w:rsidR="00C0346A">
        <w:rPr>
          <w:rFonts w:asciiTheme="majorHAnsi" w:hAnsiTheme="majorHAnsi"/>
        </w:rPr>
        <w:t>s</w:t>
      </w:r>
      <w:r w:rsidR="00FA276C" w:rsidRPr="00223856">
        <w:rPr>
          <w:rFonts w:asciiTheme="majorHAnsi" w:hAnsiTheme="majorHAnsi"/>
        </w:rPr>
        <w:t>ection—that arbitration is cheaper for business than litigation (an assumption regularly made by many commentator</w:t>
      </w:r>
      <w:r w:rsidRPr="00223856">
        <w:rPr>
          <w:rFonts w:asciiTheme="majorHAnsi" w:hAnsiTheme="majorHAnsi"/>
        </w:rPr>
        <w:t>s</w:t>
      </w:r>
      <w:r w:rsidR="00FA276C" w:rsidRPr="00223856">
        <w:rPr>
          <w:rFonts w:asciiTheme="majorHAnsi" w:hAnsiTheme="majorHAnsi"/>
        </w:rPr>
        <w:t>, in suggesting that vendors draft arbitration terms to reduce their legal exposure</w:t>
      </w:r>
      <w:r w:rsidR="0070678C" w:rsidRPr="00223856">
        <w:rPr>
          <w:rFonts w:asciiTheme="majorHAnsi" w:hAnsiTheme="majorHAnsi"/>
        </w:rPr>
        <w:t xml:space="preserve"> and save money</w:t>
      </w:r>
      <w:r w:rsidR="00FA276C" w:rsidRPr="00223856">
        <w:rPr>
          <w:rFonts w:asciiTheme="majorHAnsi" w:hAnsiTheme="majorHAnsi"/>
        </w:rPr>
        <w:t>).</w:t>
      </w:r>
      <w:r w:rsidR="00B15026" w:rsidRPr="00093969">
        <w:rPr>
          <w:rStyle w:val="FootnoteReference"/>
        </w:rPr>
        <w:footnoteReference w:id="55"/>
      </w:r>
      <w:r w:rsidR="005D692F" w:rsidRPr="00223856">
        <w:rPr>
          <w:rFonts w:asciiTheme="majorHAnsi" w:hAnsiTheme="majorHAnsi"/>
        </w:rPr>
        <w:t xml:space="preserve"> The most compelling reason for this assumption is the cost of </w:t>
      </w:r>
      <w:r w:rsidR="00C0346A">
        <w:rPr>
          <w:rFonts w:asciiTheme="majorHAnsi" w:hAnsiTheme="majorHAnsi"/>
        </w:rPr>
        <w:t>liability</w:t>
      </w:r>
      <w:r w:rsidR="005D692F" w:rsidRPr="00223856">
        <w:rPr>
          <w:rFonts w:asciiTheme="majorHAnsi" w:hAnsiTheme="majorHAnsi"/>
        </w:rPr>
        <w:t xml:space="preserve">. Arbitration that </w:t>
      </w:r>
      <w:proofErr w:type="gramStart"/>
      <w:r w:rsidR="005D692F" w:rsidRPr="00223856">
        <w:rPr>
          <w:rFonts w:asciiTheme="majorHAnsi" w:hAnsiTheme="majorHAnsi"/>
        </w:rPr>
        <w:t xml:space="preserve">effectively </w:t>
      </w:r>
      <w:r w:rsidR="00C0346A">
        <w:rPr>
          <w:rFonts w:asciiTheme="majorHAnsi" w:hAnsiTheme="majorHAnsi"/>
        </w:rPr>
        <w:t>expensive</w:t>
      </w:r>
      <w:r w:rsidR="005D692F" w:rsidRPr="00223856">
        <w:rPr>
          <w:rFonts w:asciiTheme="majorHAnsi" w:hAnsiTheme="majorHAnsi"/>
        </w:rPr>
        <w:t xml:space="preserve"> actions reduces</w:t>
      </w:r>
      <w:proofErr w:type="gramEnd"/>
      <w:r w:rsidR="005D692F" w:rsidRPr="00223856">
        <w:rPr>
          <w:rFonts w:asciiTheme="majorHAnsi" w:hAnsiTheme="majorHAnsi"/>
        </w:rPr>
        <w:t xml:space="preserve"> </w:t>
      </w:r>
      <w:r w:rsidR="00C0346A">
        <w:rPr>
          <w:rFonts w:asciiTheme="majorHAnsi" w:hAnsiTheme="majorHAnsi"/>
        </w:rPr>
        <w:t>the</w:t>
      </w:r>
      <w:r w:rsidR="005D692F" w:rsidRPr="00223856">
        <w:rPr>
          <w:rFonts w:asciiTheme="majorHAnsi" w:hAnsiTheme="majorHAnsi"/>
        </w:rPr>
        <w:t xml:space="preserve"> liability exposures of firms, and likely also the cost of liability insurance.</w:t>
      </w:r>
      <w:r w:rsidR="00FA276C" w:rsidRPr="00223856">
        <w:rPr>
          <w:rFonts w:asciiTheme="majorHAnsi" w:hAnsiTheme="majorHAnsi"/>
        </w:rPr>
        <w:t xml:space="preserve"> </w:t>
      </w:r>
      <w:r w:rsidR="006A68E2" w:rsidRPr="00223856">
        <w:rPr>
          <w:rFonts w:asciiTheme="majorHAnsi" w:hAnsiTheme="majorHAnsi"/>
        </w:rPr>
        <w:t>If the heightened litigation risk is</w:t>
      </w:r>
      <w:r w:rsidRPr="00223856">
        <w:rPr>
          <w:rFonts w:asciiTheme="majorHAnsi" w:hAnsiTheme="majorHAnsi"/>
        </w:rPr>
        <w:t xml:space="preserve"> indeed</w:t>
      </w:r>
      <w:r w:rsidR="006A68E2" w:rsidRPr="00223856">
        <w:rPr>
          <w:rFonts w:asciiTheme="majorHAnsi" w:hAnsiTheme="majorHAnsi"/>
        </w:rPr>
        <w:t xml:space="preserve"> costly to vendors, then some of </w:t>
      </w:r>
      <w:r w:rsidR="005D692F" w:rsidRPr="00223856">
        <w:rPr>
          <w:rFonts w:asciiTheme="majorHAnsi" w:hAnsiTheme="majorHAnsi"/>
        </w:rPr>
        <w:t>the</w:t>
      </w:r>
      <w:r w:rsidR="006A68E2" w:rsidRPr="00223856">
        <w:rPr>
          <w:rFonts w:asciiTheme="majorHAnsi" w:hAnsiTheme="majorHAnsi"/>
        </w:rPr>
        <w:t xml:space="preserve"> cost </w:t>
      </w:r>
      <w:r w:rsidR="005D692F" w:rsidRPr="00223856">
        <w:rPr>
          <w:rFonts w:asciiTheme="majorHAnsi" w:hAnsiTheme="majorHAnsi"/>
        </w:rPr>
        <w:t xml:space="preserve">of access to litigation </w:t>
      </w:r>
      <w:r w:rsidR="006A68E2" w:rsidRPr="00223856">
        <w:rPr>
          <w:rFonts w:asciiTheme="majorHAnsi" w:hAnsiTheme="majorHAnsi"/>
        </w:rPr>
        <w:t xml:space="preserve">would be rolled into the </w:t>
      </w:r>
      <w:r w:rsidR="00FA276C" w:rsidRPr="00223856">
        <w:rPr>
          <w:rFonts w:asciiTheme="majorHAnsi" w:hAnsiTheme="majorHAnsi"/>
        </w:rPr>
        <w:t>price</w:t>
      </w:r>
      <w:r w:rsidR="006A68E2" w:rsidRPr="00223856">
        <w:rPr>
          <w:rFonts w:asciiTheme="majorHAnsi" w:hAnsiTheme="majorHAnsi"/>
        </w:rPr>
        <w:t xml:space="preserve"> of the service. In highly competitive industries, most if not all this cost would be reflected in higher </w:t>
      </w:r>
      <w:r w:rsidR="006A68E2" w:rsidRPr="00223856">
        <w:rPr>
          <w:rFonts w:asciiTheme="majorHAnsi" w:hAnsiTheme="majorHAnsi"/>
        </w:rPr>
        <w:lastRenderedPageBreak/>
        <w:t>prices to consumers; whereas in concentrated industries, only part of this cost would be borne by consumers, and the rest by the vendors</w:t>
      </w:r>
      <w:r w:rsidRPr="00223856">
        <w:rPr>
          <w:rFonts w:asciiTheme="majorHAnsi" w:hAnsiTheme="majorHAnsi"/>
        </w:rPr>
        <w:t>, depending on the elasticity of demand</w:t>
      </w:r>
      <w:r w:rsidR="006A68E2" w:rsidRPr="00223856">
        <w:rPr>
          <w:rFonts w:asciiTheme="majorHAnsi" w:hAnsiTheme="majorHAnsi"/>
        </w:rPr>
        <w:t xml:space="preserve">. </w:t>
      </w:r>
    </w:p>
    <w:p w14:paraId="6633B544" w14:textId="77777777" w:rsidR="0070678C" w:rsidRPr="00223856" w:rsidRDefault="0070678C" w:rsidP="006A68E2">
      <w:pPr>
        <w:rPr>
          <w:rFonts w:asciiTheme="majorHAnsi" w:hAnsiTheme="majorHAnsi"/>
        </w:rPr>
      </w:pPr>
    </w:p>
    <w:p w14:paraId="68BDD07C" w14:textId="77777777" w:rsidR="004919EE" w:rsidRDefault="0070678C" w:rsidP="00C0346A">
      <w:pPr>
        <w:ind w:firstLine="720"/>
        <w:rPr>
          <w:rFonts w:asciiTheme="majorHAnsi" w:hAnsiTheme="majorHAnsi"/>
        </w:rPr>
      </w:pPr>
      <w:r w:rsidRPr="00223856">
        <w:rPr>
          <w:rFonts w:asciiTheme="majorHAnsi" w:hAnsiTheme="majorHAnsi"/>
        </w:rPr>
        <w:t xml:space="preserve">If </w:t>
      </w:r>
      <w:r w:rsidR="006A68E2" w:rsidRPr="00223856">
        <w:rPr>
          <w:rFonts w:asciiTheme="majorHAnsi" w:hAnsiTheme="majorHAnsi"/>
        </w:rPr>
        <w:t>consumer</w:t>
      </w:r>
      <w:r w:rsidR="0092732B" w:rsidRPr="00223856">
        <w:rPr>
          <w:rFonts w:asciiTheme="majorHAnsi" w:hAnsiTheme="majorHAnsi"/>
        </w:rPr>
        <w:t>s</w:t>
      </w:r>
      <w:r w:rsidR="006A68E2" w:rsidRPr="00223856">
        <w:rPr>
          <w:rFonts w:asciiTheme="majorHAnsi" w:hAnsiTheme="majorHAnsi"/>
        </w:rPr>
        <w:t xml:space="preserve"> as a group pay higher prices when they have the right to sue, </w:t>
      </w:r>
      <w:r w:rsidR="0092732B" w:rsidRPr="00223856">
        <w:rPr>
          <w:rFonts w:asciiTheme="majorHAnsi" w:hAnsiTheme="majorHAnsi"/>
        </w:rPr>
        <w:t>then t</w:t>
      </w:r>
      <w:r w:rsidR="00FA276C" w:rsidRPr="00223856">
        <w:rPr>
          <w:rFonts w:asciiTheme="majorHAnsi" w:hAnsiTheme="majorHAnsi"/>
        </w:rPr>
        <w:t>hose who are less likely to invoke</w:t>
      </w:r>
      <w:r w:rsidR="006A68E2" w:rsidRPr="00223856">
        <w:rPr>
          <w:rFonts w:asciiTheme="majorHAnsi" w:hAnsiTheme="majorHAnsi"/>
        </w:rPr>
        <w:t xml:space="preserve"> the </w:t>
      </w:r>
      <w:r w:rsidR="00FA276C" w:rsidRPr="00223856">
        <w:rPr>
          <w:rFonts w:asciiTheme="majorHAnsi" w:hAnsiTheme="majorHAnsi"/>
        </w:rPr>
        <w:t xml:space="preserve">litigation right </w:t>
      </w:r>
      <w:r w:rsidR="00C42241" w:rsidRPr="00223856">
        <w:rPr>
          <w:rFonts w:asciiTheme="majorHAnsi" w:hAnsiTheme="majorHAnsi"/>
        </w:rPr>
        <w:t>end up paying for</w:t>
      </w:r>
      <w:r w:rsidR="00F64213" w:rsidRPr="00223856">
        <w:rPr>
          <w:rFonts w:asciiTheme="majorHAnsi" w:hAnsiTheme="majorHAnsi"/>
        </w:rPr>
        <w:t xml:space="preserve"> the right that others utilize. While I am not aware of direct evidence on the effect of litigation risk on product prices, the</w:t>
      </w:r>
      <w:r w:rsidR="00020F5A" w:rsidRPr="00223856">
        <w:rPr>
          <w:rFonts w:asciiTheme="majorHAnsi" w:hAnsiTheme="majorHAnsi"/>
        </w:rPr>
        <w:t xml:space="preserve"> dynamics of this cross subsidy is familiar in</w:t>
      </w:r>
      <w:r w:rsidR="00FA276C" w:rsidRPr="00223856">
        <w:rPr>
          <w:rFonts w:asciiTheme="majorHAnsi" w:hAnsiTheme="majorHAnsi"/>
        </w:rPr>
        <w:t xml:space="preserve"> other</w:t>
      </w:r>
      <w:r w:rsidR="00020F5A" w:rsidRPr="00223856">
        <w:rPr>
          <w:rFonts w:asciiTheme="majorHAnsi" w:hAnsiTheme="majorHAnsi"/>
        </w:rPr>
        <w:t xml:space="preserve"> context</w:t>
      </w:r>
      <w:r w:rsidR="00973B46" w:rsidRPr="00223856">
        <w:rPr>
          <w:rFonts w:asciiTheme="majorHAnsi" w:hAnsiTheme="majorHAnsi"/>
        </w:rPr>
        <w:t xml:space="preserve">s. Take, for example, the right to litigate health benefits. Some legal systems recognize a constitutional claim for “right-to-health,” which allows individuals to seek court protection of their right to various medical treatments. Denial by health providers of these constitutionally protected treatments could be litigated and overturned by courts. A study in Brazil (where such right-to-health is recognized) showed that the litigation that ensued </w:t>
      </w:r>
      <w:r w:rsidR="00114439" w:rsidRPr="00223856">
        <w:rPr>
          <w:rFonts w:asciiTheme="majorHAnsi" w:hAnsiTheme="majorHAnsi"/>
        </w:rPr>
        <w:t xml:space="preserve">under this access-to-medicine paradigm </w:t>
      </w:r>
      <w:r w:rsidR="00973B46" w:rsidRPr="00223856">
        <w:rPr>
          <w:rFonts w:asciiTheme="majorHAnsi" w:hAnsiTheme="majorHAnsi"/>
        </w:rPr>
        <w:t xml:space="preserve">was largely </w:t>
      </w:r>
      <w:r w:rsidR="00114439" w:rsidRPr="00223856">
        <w:rPr>
          <w:rFonts w:asciiTheme="majorHAnsi" w:hAnsiTheme="majorHAnsi"/>
        </w:rPr>
        <w:t>to the benefit of</w:t>
      </w:r>
      <w:r w:rsidR="00973B46" w:rsidRPr="00223856">
        <w:rPr>
          <w:rFonts w:asciiTheme="majorHAnsi" w:hAnsiTheme="majorHAnsi"/>
        </w:rPr>
        <w:t xml:space="preserve"> elites, </w:t>
      </w:r>
      <w:r w:rsidR="00114439" w:rsidRPr="00223856">
        <w:rPr>
          <w:rFonts w:asciiTheme="majorHAnsi" w:hAnsiTheme="majorHAnsi"/>
        </w:rPr>
        <w:t xml:space="preserve">intended </w:t>
      </w:r>
      <w:r w:rsidR="00973B46" w:rsidRPr="00223856">
        <w:rPr>
          <w:rFonts w:asciiTheme="majorHAnsi" w:hAnsiTheme="majorHAnsi"/>
        </w:rPr>
        <w:t>to secure “high-tech” and experimental medicines.</w:t>
      </w:r>
      <w:r w:rsidR="00973B46" w:rsidRPr="00093969">
        <w:rPr>
          <w:rStyle w:val="FootnoteReference"/>
        </w:rPr>
        <w:footnoteReference w:id="56"/>
      </w:r>
      <w:r w:rsidR="00973B46" w:rsidRPr="00223856">
        <w:rPr>
          <w:rFonts w:asciiTheme="majorHAnsi" w:hAnsiTheme="majorHAnsi"/>
        </w:rPr>
        <w:t xml:space="preserve"> The vast majority of the cases litigated were brought by a privileged minority seeking access to “high-cost medicines, such as new types of insulin for diabetes and new cancer drugs” that were otherwise excluded </w:t>
      </w:r>
      <w:r w:rsidR="00114439" w:rsidRPr="00223856">
        <w:rPr>
          <w:rFonts w:asciiTheme="majorHAnsi" w:hAnsiTheme="majorHAnsi"/>
        </w:rPr>
        <w:t xml:space="preserve">by health administrators </w:t>
      </w:r>
      <w:r w:rsidR="00973B46" w:rsidRPr="00223856">
        <w:rPr>
          <w:rFonts w:asciiTheme="majorHAnsi" w:hAnsiTheme="majorHAnsi"/>
        </w:rPr>
        <w:t xml:space="preserve">because of low effectiveness. </w:t>
      </w:r>
      <w:r w:rsidR="00114439" w:rsidRPr="00223856">
        <w:rPr>
          <w:rFonts w:asciiTheme="majorHAnsi" w:hAnsiTheme="majorHAnsi"/>
        </w:rPr>
        <w:t>It was shown that t</w:t>
      </w:r>
      <w:r w:rsidR="00973B46" w:rsidRPr="00223856">
        <w:rPr>
          <w:rFonts w:asciiTheme="majorHAnsi" w:hAnsiTheme="majorHAnsi"/>
        </w:rPr>
        <w:t>he right-to-health litigation was largely concentrated in the richest regions, where a small minority “is able to use the court system to its advantage.” Access to courts is otherwise “beyond the means and reach of most poor Brazilians.”</w:t>
      </w:r>
      <w:r w:rsidR="00973B46" w:rsidRPr="00093969">
        <w:rPr>
          <w:rStyle w:val="FootnoteReference"/>
        </w:rPr>
        <w:footnoteReference w:id="57"/>
      </w:r>
      <w:r w:rsidR="00973B46" w:rsidRPr="00223856">
        <w:rPr>
          <w:rFonts w:asciiTheme="majorHAnsi" w:hAnsiTheme="majorHAnsi"/>
        </w:rPr>
        <w:t xml:space="preserve"> </w:t>
      </w:r>
      <w:r w:rsidR="00F64213" w:rsidRPr="00223856">
        <w:rPr>
          <w:rFonts w:asciiTheme="majorHAnsi" w:hAnsiTheme="majorHAnsi"/>
        </w:rPr>
        <w:t>Further, the cost of these augmented treatments is borne by others. A</w:t>
      </w:r>
      <w:r w:rsidR="00973B46" w:rsidRPr="00223856">
        <w:rPr>
          <w:rFonts w:asciiTheme="majorHAnsi" w:hAnsiTheme="majorHAnsi"/>
        </w:rPr>
        <w:t>s state resources devoted to health and provision of medications is fixed, such litigation reallocates general health expenditure</w:t>
      </w:r>
      <w:r w:rsidR="00F64213" w:rsidRPr="00223856">
        <w:rPr>
          <w:rFonts w:asciiTheme="majorHAnsi" w:hAnsiTheme="majorHAnsi"/>
        </w:rPr>
        <w:t>, which would otherwise benefit broader populations,</w:t>
      </w:r>
      <w:r w:rsidR="00973B46" w:rsidRPr="00223856">
        <w:rPr>
          <w:rFonts w:asciiTheme="majorHAnsi" w:hAnsiTheme="majorHAnsi"/>
        </w:rPr>
        <w:t xml:space="preserve"> in favor of the litigating minority. </w:t>
      </w:r>
    </w:p>
    <w:p w14:paraId="54F41CA2" w14:textId="77777777" w:rsidR="00811FA1" w:rsidRPr="00223856" w:rsidRDefault="00811FA1" w:rsidP="00D353C8">
      <w:pPr>
        <w:rPr>
          <w:rFonts w:asciiTheme="majorHAnsi" w:hAnsiTheme="majorHAnsi"/>
        </w:rPr>
      </w:pPr>
    </w:p>
    <w:p w14:paraId="33FB48CC" w14:textId="77777777" w:rsidR="001C2BF1" w:rsidRPr="001A16A6" w:rsidRDefault="00C20587" w:rsidP="00C20587">
      <w:pPr>
        <w:jc w:val="center"/>
        <w:rPr>
          <w:rFonts w:asciiTheme="majorHAnsi" w:hAnsiTheme="majorHAnsi"/>
          <w:b/>
        </w:rPr>
      </w:pPr>
      <w:r w:rsidRPr="001A16A6">
        <w:rPr>
          <w:rFonts w:asciiTheme="majorHAnsi" w:hAnsiTheme="majorHAnsi"/>
          <w:b/>
        </w:rPr>
        <w:t xml:space="preserve">V. </w:t>
      </w:r>
      <w:r w:rsidR="001C2BF1" w:rsidRPr="001A16A6">
        <w:rPr>
          <w:rFonts w:asciiTheme="majorHAnsi" w:hAnsiTheme="majorHAnsi"/>
          <w:b/>
        </w:rPr>
        <w:t>A Benefit from Class Actions?</w:t>
      </w:r>
    </w:p>
    <w:p w14:paraId="4A247AB3" w14:textId="77777777" w:rsidR="001C2BF1" w:rsidRPr="00223856" w:rsidRDefault="001C2BF1" w:rsidP="00D353C8">
      <w:pPr>
        <w:rPr>
          <w:rFonts w:asciiTheme="majorHAnsi" w:hAnsiTheme="majorHAnsi"/>
        </w:rPr>
      </w:pPr>
    </w:p>
    <w:p w14:paraId="7483EE87" w14:textId="77777777" w:rsidR="001C2BF1" w:rsidRPr="00223856" w:rsidRDefault="001C2BF1" w:rsidP="005736AF">
      <w:pPr>
        <w:ind w:firstLine="720"/>
        <w:rPr>
          <w:rFonts w:asciiTheme="majorHAnsi" w:hAnsiTheme="majorHAnsi"/>
        </w:rPr>
      </w:pPr>
      <w:r w:rsidRPr="00223856">
        <w:rPr>
          <w:rFonts w:asciiTheme="majorHAnsi" w:hAnsiTheme="majorHAnsi"/>
        </w:rPr>
        <w:t xml:space="preserve">One of the important </w:t>
      </w:r>
      <w:r w:rsidR="005736AF">
        <w:rPr>
          <w:rFonts w:asciiTheme="majorHAnsi" w:hAnsiTheme="majorHAnsi"/>
        </w:rPr>
        <w:t xml:space="preserve">practical </w:t>
      </w:r>
      <w:r w:rsidRPr="00223856">
        <w:rPr>
          <w:rFonts w:asciiTheme="majorHAnsi" w:hAnsiTheme="majorHAnsi"/>
        </w:rPr>
        <w:t>implications of mandatory arbitration</w:t>
      </w:r>
      <w:r w:rsidR="005736AF">
        <w:rPr>
          <w:rFonts w:asciiTheme="majorHAnsi" w:hAnsiTheme="majorHAnsi"/>
        </w:rPr>
        <w:t>, and perhaps their primary objective,</w:t>
      </w:r>
      <w:r w:rsidRPr="00223856">
        <w:rPr>
          <w:rFonts w:asciiTheme="majorHAnsi" w:hAnsiTheme="majorHAnsi"/>
        </w:rPr>
        <w:t xml:space="preserve"> is the removal of class representation. Arbitration clauses not only require plaintiffs to turn to arbitration, they also bar aggregation of suits. It is possible, then, that litigation—even if triggered by the wealthy </w:t>
      </w:r>
      <w:r w:rsidR="00884B2C">
        <w:rPr>
          <w:rFonts w:asciiTheme="majorHAnsi" w:hAnsiTheme="majorHAnsi"/>
        </w:rPr>
        <w:t xml:space="preserve">and the </w:t>
      </w:r>
      <w:r w:rsidRPr="00223856">
        <w:rPr>
          <w:rFonts w:asciiTheme="majorHAnsi" w:hAnsiTheme="majorHAnsi"/>
        </w:rPr>
        <w:t>sophisticates—would serve the benefit of the poor in two ways. First, it would enable the poor to piggyback on the litigation effort of others, and collect the recovery that every member of the class is entitled to without any deliberate effort. Second, importantly, if the threat of class actions changes the behavior of potential defendants—sellers and businesses serving the poor—this deterrent effect is a public good benefitting all equally.</w:t>
      </w:r>
    </w:p>
    <w:p w14:paraId="0462B884" w14:textId="77777777" w:rsidR="001C2BF1" w:rsidRPr="00223856" w:rsidRDefault="001C2BF1" w:rsidP="00D353C8">
      <w:pPr>
        <w:rPr>
          <w:rFonts w:asciiTheme="majorHAnsi" w:hAnsiTheme="majorHAnsi"/>
        </w:rPr>
      </w:pPr>
    </w:p>
    <w:p w14:paraId="5A4D6303" w14:textId="77777777" w:rsidR="00C20587" w:rsidRDefault="00C20587" w:rsidP="005736AF">
      <w:pPr>
        <w:ind w:firstLine="720"/>
        <w:rPr>
          <w:rFonts w:asciiTheme="majorHAnsi" w:hAnsiTheme="majorHAnsi"/>
        </w:rPr>
      </w:pPr>
      <w:r>
        <w:rPr>
          <w:rFonts w:asciiTheme="majorHAnsi" w:hAnsiTheme="majorHAnsi"/>
        </w:rPr>
        <w:lastRenderedPageBreak/>
        <w:t>This is an</w:t>
      </w:r>
      <w:r w:rsidR="001C2BF1" w:rsidRPr="00223856">
        <w:rPr>
          <w:rFonts w:asciiTheme="majorHAnsi" w:hAnsiTheme="majorHAnsi"/>
        </w:rPr>
        <w:t xml:space="preserve"> important </w:t>
      </w:r>
      <w:r>
        <w:rPr>
          <w:rFonts w:asciiTheme="majorHAnsi" w:hAnsiTheme="majorHAnsi"/>
        </w:rPr>
        <w:t>qualification</w:t>
      </w:r>
      <w:r w:rsidR="005958B6" w:rsidRPr="00223856">
        <w:rPr>
          <w:rFonts w:asciiTheme="majorHAnsi" w:hAnsiTheme="majorHAnsi"/>
        </w:rPr>
        <w:t xml:space="preserve"> </w:t>
      </w:r>
      <w:r w:rsidR="00F64213" w:rsidRPr="00223856">
        <w:rPr>
          <w:rFonts w:asciiTheme="majorHAnsi" w:hAnsiTheme="majorHAnsi"/>
        </w:rPr>
        <w:t>that</w:t>
      </w:r>
      <w:r w:rsidR="005958B6" w:rsidRPr="00223856">
        <w:rPr>
          <w:rFonts w:asciiTheme="majorHAnsi" w:hAnsiTheme="majorHAnsi"/>
        </w:rPr>
        <w:t>, if true, diminish</w:t>
      </w:r>
      <w:r>
        <w:rPr>
          <w:rFonts w:asciiTheme="majorHAnsi" w:hAnsiTheme="majorHAnsi"/>
        </w:rPr>
        <w:t>es</w:t>
      </w:r>
      <w:r w:rsidR="005958B6" w:rsidRPr="00223856">
        <w:rPr>
          <w:rFonts w:asciiTheme="majorHAnsi" w:hAnsiTheme="majorHAnsi"/>
        </w:rPr>
        <w:t xml:space="preserve"> the regressive concern developed in this paper. </w:t>
      </w:r>
      <w:r>
        <w:rPr>
          <w:rFonts w:asciiTheme="majorHAnsi" w:hAnsiTheme="majorHAnsi"/>
        </w:rPr>
        <w:t xml:space="preserve">It would, of course, also diminish any progressive ambition that litigation access, as a form of </w:t>
      </w:r>
      <w:r w:rsidR="00E943DE">
        <w:rPr>
          <w:rFonts w:asciiTheme="majorHAnsi" w:hAnsiTheme="majorHAnsi"/>
        </w:rPr>
        <w:t>consumer protection, might have.</w:t>
      </w:r>
      <w:r>
        <w:rPr>
          <w:rFonts w:asciiTheme="majorHAnsi" w:hAnsiTheme="majorHAnsi"/>
        </w:rPr>
        <w:t xml:space="preserve"> It would </w:t>
      </w:r>
      <w:r w:rsidR="005958B6" w:rsidRPr="00223856">
        <w:rPr>
          <w:rFonts w:asciiTheme="majorHAnsi" w:hAnsiTheme="majorHAnsi"/>
        </w:rPr>
        <w:t>suggest</w:t>
      </w:r>
      <w:r>
        <w:rPr>
          <w:rFonts w:asciiTheme="majorHAnsi" w:hAnsiTheme="majorHAnsi"/>
        </w:rPr>
        <w:t>, though,</w:t>
      </w:r>
      <w:r w:rsidR="005958B6" w:rsidRPr="00223856">
        <w:rPr>
          <w:rFonts w:asciiTheme="majorHAnsi" w:hAnsiTheme="majorHAnsi"/>
        </w:rPr>
        <w:t xml:space="preserve"> that the problem with </w:t>
      </w:r>
      <w:r>
        <w:rPr>
          <w:rFonts w:asciiTheme="majorHAnsi" w:hAnsiTheme="majorHAnsi"/>
        </w:rPr>
        <w:t xml:space="preserve">pre-dispute mandatory </w:t>
      </w:r>
      <w:r w:rsidR="005958B6" w:rsidRPr="00223856">
        <w:rPr>
          <w:rFonts w:asciiTheme="majorHAnsi" w:hAnsiTheme="majorHAnsi"/>
        </w:rPr>
        <w:t>arbitration</w:t>
      </w:r>
      <w:r>
        <w:rPr>
          <w:rFonts w:asciiTheme="majorHAnsi" w:hAnsiTheme="majorHAnsi"/>
        </w:rPr>
        <w:t xml:space="preserve"> agreements</w:t>
      </w:r>
      <w:r w:rsidR="005958B6" w:rsidRPr="00223856">
        <w:rPr>
          <w:rFonts w:asciiTheme="majorHAnsi" w:hAnsiTheme="majorHAnsi"/>
        </w:rPr>
        <w:t xml:space="preserve"> is not related to </w:t>
      </w:r>
      <w:r>
        <w:rPr>
          <w:rFonts w:asciiTheme="majorHAnsi" w:hAnsiTheme="majorHAnsi"/>
        </w:rPr>
        <w:t xml:space="preserve">the type of arbitration procedures chosen (e.g., ones with high </w:t>
      </w:r>
      <w:r w:rsidR="005958B6" w:rsidRPr="00223856">
        <w:rPr>
          <w:rFonts w:asciiTheme="majorHAnsi" w:hAnsiTheme="majorHAnsi"/>
        </w:rPr>
        <w:t xml:space="preserve">filing fees or </w:t>
      </w:r>
      <w:r>
        <w:rPr>
          <w:rFonts w:asciiTheme="majorHAnsi" w:hAnsiTheme="majorHAnsi"/>
        </w:rPr>
        <w:t>stingy discovery)—a concern that many American courts seem to have been focusing on</w:t>
      </w:r>
      <w:r w:rsidRPr="00093969">
        <w:rPr>
          <w:rStyle w:val="FootnoteReference"/>
        </w:rPr>
        <w:footnoteReference w:id="58"/>
      </w:r>
      <w:r>
        <w:rPr>
          <w:rFonts w:asciiTheme="majorHAnsi" w:hAnsiTheme="majorHAnsi"/>
        </w:rPr>
        <w:t>—</w:t>
      </w:r>
      <w:r w:rsidR="005958B6" w:rsidRPr="00223856">
        <w:rPr>
          <w:rFonts w:asciiTheme="majorHAnsi" w:hAnsiTheme="majorHAnsi"/>
        </w:rPr>
        <w:t xml:space="preserve">but rather </w:t>
      </w:r>
      <w:r w:rsidR="00884B2C">
        <w:rPr>
          <w:rFonts w:asciiTheme="majorHAnsi" w:hAnsiTheme="majorHAnsi"/>
        </w:rPr>
        <w:t xml:space="preserve">it is </w:t>
      </w:r>
      <w:r w:rsidR="005958B6" w:rsidRPr="00223856">
        <w:rPr>
          <w:rFonts w:asciiTheme="majorHAnsi" w:hAnsiTheme="majorHAnsi"/>
        </w:rPr>
        <w:t xml:space="preserve">the class action bar. </w:t>
      </w:r>
    </w:p>
    <w:p w14:paraId="65DC59BB" w14:textId="77777777" w:rsidR="00C20587" w:rsidRDefault="00C20587" w:rsidP="005736AF">
      <w:pPr>
        <w:ind w:firstLine="720"/>
        <w:rPr>
          <w:rFonts w:asciiTheme="majorHAnsi" w:hAnsiTheme="majorHAnsi"/>
        </w:rPr>
      </w:pPr>
    </w:p>
    <w:p w14:paraId="516B4D80" w14:textId="77777777" w:rsidR="00E943DE" w:rsidRDefault="00E943DE" w:rsidP="005736AF">
      <w:pPr>
        <w:ind w:firstLine="720"/>
        <w:rPr>
          <w:rFonts w:asciiTheme="majorHAnsi" w:hAnsiTheme="majorHAnsi" w:cs="JCAGCO+TimesNewRoman"/>
          <w:color w:val="000000"/>
        </w:rPr>
      </w:pPr>
      <w:r>
        <w:rPr>
          <w:rFonts w:asciiTheme="majorHAnsi" w:hAnsiTheme="majorHAnsi"/>
        </w:rPr>
        <w:t>The discussion below will address the two potential class-wide effects of class actions, recovery to all and shared benefit from deterrence. The first effect—the poor piggybacking on the litigation efforts of others—is a phantom. The dynamics of ex post recovery in class actions does not vindicate this interest. Still, the more substantial benefit to the poor may be the</w:t>
      </w:r>
      <w:r w:rsidR="00F54F42">
        <w:rPr>
          <w:rFonts w:asciiTheme="majorHAnsi" w:hAnsiTheme="majorHAnsi"/>
        </w:rPr>
        <w:t xml:space="preserve"> second effect—the</w:t>
      </w:r>
      <w:r>
        <w:rPr>
          <w:rFonts w:asciiTheme="majorHAnsi" w:hAnsiTheme="majorHAnsi"/>
        </w:rPr>
        <w:t xml:space="preserve"> ex ante deterrence that class actions could potentially engender. </w:t>
      </w:r>
      <w:r w:rsidR="00F54F42">
        <w:rPr>
          <w:rFonts w:asciiTheme="majorHAnsi" w:hAnsiTheme="majorHAnsi"/>
        </w:rPr>
        <w:t>It would suggest that</w:t>
      </w:r>
      <w:r>
        <w:rPr>
          <w:rFonts w:asciiTheme="majorHAnsi" w:hAnsiTheme="majorHAnsi"/>
        </w:rPr>
        <w:t xml:space="preserve"> class action bars</w:t>
      </w:r>
      <w:r w:rsidR="00F54F42">
        <w:rPr>
          <w:rFonts w:asciiTheme="majorHAnsi" w:hAnsiTheme="majorHAnsi"/>
        </w:rPr>
        <w:t>, implemented through mandatory arbitration, are harmful to the poor, but for a different reason than that which animates American case law. This objection to arbitration</w:t>
      </w:r>
      <w:r>
        <w:rPr>
          <w:rFonts w:asciiTheme="majorHAnsi" w:hAnsiTheme="majorHAnsi"/>
        </w:rPr>
        <w:t xml:space="preserve"> </w:t>
      </w:r>
      <w:r>
        <w:rPr>
          <w:rFonts w:asciiTheme="majorHAnsi" w:hAnsiTheme="majorHAnsi" w:cs="JCAGCO+TimesNewRoman"/>
          <w:color w:val="000000"/>
        </w:rPr>
        <w:t xml:space="preserve">rests </w:t>
      </w:r>
      <w:r w:rsidR="00F54F42">
        <w:rPr>
          <w:rFonts w:asciiTheme="majorHAnsi" w:hAnsiTheme="majorHAnsi" w:cs="JCAGCO+TimesNewRoman"/>
          <w:color w:val="000000"/>
        </w:rPr>
        <w:t xml:space="preserve">not </w:t>
      </w:r>
      <w:r>
        <w:rPr>
          <w:rFonts w:asciiTheme="majorHAnsi" w:hAnsiTheme="majorHAnsi" w:cs="JCAGCO+TimesNewRoman"/>
          <w:color w:val="000000"/>
        </w:rPr>
        <w:t xml:space="preserve">on </w:t>
      </w:r>
      <w:r w:rsidR="00F54F42">
        <w:rPr>
          <w:rFonts w:asciiTheme="majorHAnsi" w:hAnsiTheme="majorHAnsi" w:cs="JCAGCO+TimesNewRoman"/>
          <w:color w:val="000000"/>
        </w:rPr>
        <w:t>the</w:t>
      </w:r>
      <w:r>
        <w:rPr>
          <w:rFonts w:asciiTheme="majorHAnsi" w:hAnsiTheme="majorHAnsi" w:cs="JCAGCO+TimesNewRoman"/>
          <w:color w:val="000000"/>
        </w:rPr>
        <w:t xml:space="preserve"> normative foundation </w:t>
      </w:r>
      <w:r w:rsidR="00F54F42">
        <w:rPr>
          <w:rFonts w:asciiTheme="majorHAnsi" w:hAnsiTheme="majorHAnsi" w:cs="JCAGCO+TimesNewRoman"/>
          <w:color w:val="000000"/>
        </w:rPr>
        <w:t>of “access to justice</w:t>
      </w:r>
      <w:r>
        <w:rPr>
          <w:rFonts w:asciiTheme="majorHAnsi" w:hAnsiTheme="majorHAnsi" w:cs="JCAGCO+TimesNewRoman"/>
          <w:color w:val="000000"/>
        </w:rPr>
        <w:t>”</w:t>
      </w:r>
      <w:r w:rsidR="00F54F42">
        <w:rPr>
          <w:rFonts w:asciiTheme="majorHAnsi" w:hAnsiTheme="majorHAnsi" w:cs="JCAGCO+TimesNewRoman"/>
          <w:color w:val="000000"/>
        </w:rPr>
        <w:t xml:space="preserve"> nor of victims receiving proper corrective redress, but rather on</w:t>
      </w:r>
      <w:r>
        <w:rPr>
          <w:rFonts w:asciiTheme="majorHAnsi" w:hAnsiTheme="majorHAnsi" w:cs="JCAGCO+TimesNewRoman"/>
          <w:color w:val="000000"/>
        </w:rPr>
        <w:t xml:space="preserve"> the importance of having bad actors pay for their misdeeds</w:t>
      </w:r>
      <w:r w:rsidR="00F54F42">
        <w:rPr>
          <w:rFonts w:asciiTheme="majorHAnsi" w:hAnsiTheme="majorHAnsi" w:cs="JCAGCO+TimesNewRoman"/>
          <w:color w:val="000000"/>
        </w:rPr>
        <w:t xml:space="preserve">. </w:t>
      </w:r>
      <w:r>
        <w:rPr>
          <w:rFonts w:asciiTheme="majorHAnsi" w:hAnsiTheme="majorHAnsi" w:cs="JCAGCO+TimesNewRoman"/>
          <w:color w:val="000000"/>
        </w:rPr>
        <w:t>In fact, deterrence might work best if the payments of class action judgments go to the pocket of rich plaintiffs attorneys, and almost never to compensate the truly poor and the worst off among consumers. The more attorneys benefit by such suits, the more motivated they would be to produce this form of deterrence.</w:t>
      </w:r>
    </w:p>
    <w:p w14:paraId="1C88F6ED" w14:textId="77777777" w:rsidR="005958B6" w:rsidRDefault="005958B6" w:rsidP="00D353C8">
      <w:pPr>
        <w:rPr>
          <w:rFonts w:asciiTheme="majorHAnsi" w:hAnsiTheme="majorHAnsi"/>
        </w:rPr>
      </w:pPr>
    </w:p>
    <w:p w14:paraId="4D75AA41" w14:textId="77777777" w:rsidR="00F54F42" w:rsidRPr="00884B2C" w:rsidRDefault="00F54F42" w:rsidP="00F54F42">
      <w:pPr>
        <w:pStyle w:val="ListParagraph"/>
        <w:numPr>
          <w:ilvl w:val="0"/>
          <w:numId w:val="9"/>
        </w:numPr>
        <w:rPr>
          <w:rFonts w:asciiTheme="majorHAnsi" w:hAnsiTheme="majorHAnsi"/>
          <w:i/>
        </w:rPr>
      </w:pPr>
      <w:r w:rsidRPr="00884B2C">
        <w:rPr>
          <w:rFonts w:asciiTheme="majorHAnsi" w:hAnsiTheme="majorHAnsi"/>
          <w:i/>
        </w:rPr>
        <w:t>Recovery to All?</w:t>
      </w:r>
    </w:p>
    <w:p w14:paraId="36115662" w14:textId="77777777" w:rsidR="00F54F42" w:rsidRPr="00F54F42" w:rsidRDefault="00F54F42" w:rsidP="00F54F42">
      <w:pPr>
        <w:ind w:left="720"/>
        <w:rPr>
          <w:rFonts w:asciiTheme="majorHAnsi" w:hAnsiTheme="majorHAnsi"/>
        </w:rPr>
      </w:pPr>
    </w:p>
    <w:p w14:paraId="522BAE1D" w14:textId="77777777" w:rsidR="00847BBE" w:rsidRDefault="005958B6" w:rsidP="005736AF">
      <w:pPr>
        <w:ind w:firstLine="720"/>
        <w:rPr>
          <w:rFonts w:asciiTheme="majorHAnsi" w:hAnsiTheme="majorHAnsi" w:cs="JCAGCO+TimesNewRoman"/>
          <w:color w:val="000000"/>
        </w:rPr>
      </w:pPr>
      <w:r w:rsidRPr="00223856">
        <w:rPr>
          <w:rFonts w:asciiTheme="majorHAnsi" w:hAnsiTheme="majorHAnsi"/>
        </w:rPr>
        <w:t>Consider, first, the proposition that the poor benefit from class-wide recovery</w:t>
      </w:r>
      <w:r w:rsidR="00F64213" w:rsidRPr="00223856">
        <w:rPr>
          <w:rFonts w:asciiTheme="majorHAnsi" w:hAnsiTheme="majorHAnsi"/>
        </w:rPr>
        <w:t>: a</w:t>
      </w:r>
      <w:r w:rsidRPr="00223856">
        <w:rPr>
          <w:rFonts w:asciiTheme="majorHAnsi" w:hAnsiTheme="majorHAnsi"/>
        </w:rPr>
        <w:t>t no cost to them, poor class members recover at leas</w:t>
      </w:r>
      <w:r w:rsidR="00F54F42">
        <w:rPr>
          <w:rFonts w:asciiTheme="majorHAnsi" w:hAnsiTheme="majorHAnsi"/>
        </w:rPr>
        <w:t xml:space="preserve">t part of their loss. There is </w:t>
      </w:r>
      <w:r w:rsidRPr="00223856">
        <w:rPr>
          <w:rFonts w:asciiTheme="majorHAnsi" w:hAnsiTheme="majorHAnsi"/>
        </w:rPr>
        <w:t xml:space="preserve">plenty of sobering evidence showing that only a small, negligible fraction of the class members actually redeem their share of the class recovery. For example, many class actions end with the attorneys representing the class being paid in cash, but the consumer-members receiving coupons. The average redemption rate of </w:t>
      </w:r>
      <w:r w:rsidR="00F64213" w:rsidRPr="00223856">
        <w:rPr>
          <w:rFonts w:asciiTheme="majorHAnsi" w:hAnsiTheme="majorHAnsi"/>
        </w:rPr>
        <w:t xml:space="preserve">various coupons </w:t>
      </w:r>
      <w:r w:rsidR="00813115" w:rsidRPr="00223856">
        <w:rPr>
          <w:rFonts w:asciiTheme="majorHAnsi" w:hAnsiTheme="majorHAnsi"/>
        </w:rPr>
        <w:t>has been</w:t>
      </w:r>
      <w:r w:rsidR="00F64213" w:rsidRPr="00223856">
        <w:rPr>
          <w:rFonts w:asciiTheme="majorHAnsi" w:hAnsiTheme="majorHAnsi"/>
        </w:rPr>
        <w:t xml:space="preserve"> measure</w:t>
      </w:r>
      <w:r w:rsidR="005736AF">
        <w:rPr>
          <w:rFonts w:asciiTheme="majorHAnsi" w:hAnsiTheme="majorHAnsi"/>
        </w:rPr>
        <w:t>d</w:t>
      </w:r>
      <w:r w:rsidR="00F64213" w:rsidRPr="00223856">
        <w:rPr>
          <w:rFonts w:asciiTheme="majorHAnsi" w:hAnsiTheme="majorHAnsi"/>
        </w:rPr>
        <w:t xml:space="preserve"> somewhere</w:t>
      </w:r>
      <w:r w:rsidR="00813115" w:rsidRPr="00223856">
        <w:rPr>
          <w:rFonts w:asciiTheme="majorHAnsi" w:hAnsiTheme="majorHAnsi"/>
        </w:rPr>
        <w:t xml:space="preserve"> between </w:t>
      </w:r>
      <w:r w:rsidR="003D23CC" w:rsidRPr="00223856">
        <w:rPr>
          <w:rFonts w:asciiTheme="majorHAnsi" w:hAnsiTheme="majorHAnsi"/>
        </w:rPr>
        <w:t>1</w:t>
      </w:r>
      <w:r w:rsidR="00813115" w:rsidRPr="00223856">
        <w:rPr>
          <w:rFonts w:asciiTheme="majorHAnsi" w:hAnsiTheme="majorHAnsi"/>
        </w:rPr>
        <w:t>%-6%</w:t>
      </w:r>
      <w:r w:rsidR="003D23CC" w:rsidRPr="00223856">
        <w:rPr>
          <w:rFonts w:asciiTheme="majorHAnsi" w:hAnsiTheme="majorHAnsi"/>
        </w:rPr>
        <w:t>, mirroring the typical corporate-issued promotional coupon redemption rate</w:t>
      </w:r>
      <w:r w:rsidR="00813115" w:rsidRPr="00223856">
        <w:rPr>
          <w:rFonts w:asciiTheme="majorHAnsi" w:hAnsiTheme="majorHAnsi"/>
        </w:rPr>
        <w:t>.</w:t>
      </w:r>
      <w:r w:rsidR="00813115" w:rsidRPr="00093969">
        <w:rPr>
          <w:rStyle w:val="FootnoteReference"/>
        </w:rPr>
        <w:footnoteReference w:id="59"/>
      </w:r>
      <w:r w:rsidR="006B4914" w:rsidRPr="00223856">
        <w:rPr>
          <w:rFonts w:asciiTheme="majorHAnsi" w:hAnsiTheme="majorHAnsi" w:cs="JCAGCO+TimesNewRoman"/>
          <w:color w:val="000000"/>
        </w:rPr>
        <w:t xml:space="preserve"> </w:t>
      </w:r>
      <w:r w:rsidR="00EA08C3">
        <w:rPr>
          <w:rFonts w:asciiTheme="majorHAnsi" w:hAnsiTheme="majorHAnsi" w:cs="JCAGCO+TimesNewRoman"/>
          <w:color w:val="000000"/>
        </w:rPr>
        <w:t>I</w:t>
      </w:r>
      <w:r w:rsidR="003D23CC" w:rsidRPr="00223856">
        <w:rPr>
          <w:rFonts w:asciiTheme="majorHAnsi" w:hAnsiTheme="majorHAnsi" w:cs="JCAGCO+TimesNewRoman"/>
          <w:color w:val="000000"/>
        </w:rPr>
        <w:t>n</w:t>
      </w:r>
      <w:r w:rsidR="006B4914" w:rsidRPr="00223856">
        <w:rPr>
          <w:rFonts w:asciiTheme="majorHAnsi" w:hAnsiTheme="majorHAnsi" w:cs="JCAGCO+TimesNewRoman"/>
          <w:color w:val="000000"/>
        </w:rPr>
        <w:t xml:space="preserve"> one consumer class action alleging deceptive business practices, </w:t>
      </w:r>
      <w:r w:rsidR="003D23CC" w:rsidRPr="00223856">
        <w:rPr>
          <w:rFonts w:asciiTheme="majorHAnsi" w:hAnsiTheme="majorHAnsi" w:cs="JCAGCO+TimesNewRoman"/>
          <w:color w:val="000000"/>
        </w:rPr>
        <w:t xml:space="preserve">members </w:t>
      </w:r>
      <w:r w:rsidR="006B4914" w:rsidRPr="00223856">
        <w:rPr>
          <w:rFonts w:asciiTheme="majorHAnsi" w:hAnsiTheme="majorHAnsi" w:cs="JCAGCO+TimesNewRoman"/>
          <w:color w:val="000000"/>
        </w:rPr>
        <w:t xml:space="preserve">were entitled to a total potential compensation of $64 </w:t>
      </w:r>
      <w:r w:rsidR="006B4914" w:rsidRPr="00223856">
        <w:rPr>
          <w:rFonts w:asciiTheme="majorHAnsi" w:hAnsiTheme="majorHAnsi" w:cs="JCAGCO+TimesNewRoman"/>
          <w:color w:val="000000"/>
        </w:rPr>
        <w:lastRenderedPageBreak/>
        <w:t xml:space="preserve">million, but redemption was </w:t>
      </w:r>
      <w:r w:rsidR="003D23CC" w:rsidRPr="00223856">
        <w:rPr>
          <w:rFonts w:asciiTheme="majorHAnsi" w:hAnsiTheme="majorHAnsi" w:cs="JCAGCO+TimesNewRoman"/>
          <w:color w:val="000000"/>
        </w:rPr>
        <w:t>less than $1.8 million.</w:t>
      </w:r>
      <w:r w:rsidR="006B4914" w:rsidRPr="00093969">
        <w:rPr>
          <w:rStyle w:val="FootnoteReference"/>
        </w:rPr>
        <w:footnoteReference w:id="60"/>
      </w:r>
      <w:r w:rsidR="008F298C" w:rsidRPr="00223856">
        <w:rPr>
          <w:rFonts w:asciiTheme="majorHAnsi" w:hAnsiTheme="majorHAnsi" w:cs="JCAGCO+TimesNewRoman"/>
          <w:color w:val="000000"/>
        </w:rPr>
        <w:t xml:space="preserve"> Or, when Ford agreed to a settlement in a class action over the Explorer SUV rollover problem, it was estimated to cost approximately $500 million. But less than 1% of the eligible consumers signed up to </w:t>
      </w:r>
      <w:r w:rsidR="00EA08C3">
        <w:rPr>
          <w:rFonts w:asciiTheme="majorHAnsi" w:hAnsiTheme="majorHAnsi" w:cs="JCAGCO+TimesNewRoman"/>
          <w:color w:val="000000"/>
        </w:rPr>
        <w:t>collect their recovery</w:t>
      </w:r>
      <w:r w:rsidR="008F298C" w:rsidRPr="00223856">
        <w:rPr>
          <w:rFonts w:asciiTheme="majorHAnsi" w:hAnsiTheme="majorHAnsi" w:cs="JCAGCO+TimesNewRoman"/>
          <w:color w:val="000000"/>
        </w:rPr>
        <w:t>.</w:t>
      </w:r>
      <w:r w:rsidR="008F298C" w:rsidRPr="00093969">
        <w:rPr>
          <w:rStyle w:val="FootnoteReference"/>
        </w:rPr>
        <w:footnoteReference w:id="61"/>
      </w:r>
      <w:r w:rsidR="00EA06F8" w:rsidRPr="00223856">
        <w:rPr>
          <w:rFonts w:asciiTheme="majorHAnsi" w:hAnsiTheme="majorHAnsi" w:cs="JCAGCO+TimesNewRoman"/>
          <w:color w:val="000000"/>
        </w:rPr>
        <w:t xml:space="preserve"> </w:t>
      </w:r>
    </w:p>
    <w:p w14:paraId="70C3776F" w14:textId="77777777" w:rsidR="00847BBE" w:rsidRDefault="00847BBE" w:rsidP="005736AF">
      <w:pPr>
        <w:ind w:firstLine="720"/>
        <w:rPr>
          <w:rFonts w:asciiTheme="majorHAnsi" w:hAnsiTheme="majorHAnsi" w:cs="JCAGCO+TimesNewRoman"/>
          <w:color w:val="000000"/>
        </w:rPr>
      </w:pPr>
    </w:p>
    <w:p w14:paraId="15C9C28E" w14:textId="77777777" w:rsidR="006C75C7" w:rsidRDefault="00EA06F8" w:rsidP="005736AF">
      <w:pPr>
        <w:ind w:firstLine="720"/>
        <w:rPr>
          <w:rFonts w:asciiTheme="majorHAnsi" w:hAnsiTheme="majorHAnsi" w:cs="JCAGCO+TimesNewRoman"/>
          <w:color w:val="000000"/>
        </w:rPr>
      </w:pPr>
      <w:r w:rsidRPr="00223856">
        <w:rPr>
          <w:rFonts w:asciiTheme="majorHAnsi" w:hAnsiTheme="majorHAnsi" w:cs="JCAGCO+TimesNewRoman"/>
          <w:color w:val="000000"/>
        </w:rPr>
        <w:t>There are, to be sure, ways to increase participation rates by providing</w:t>
      </w:r>
      <w:r w:rsidR="00847BBE">
        <w:rPr>
          <w:rFonts w:asciiTheme="majorHAnsi" w:hAnsiTheme="majorHAnsi" w:cs="JCAGCO+TimesNewRoman"/>
          <w:color w:val="000000"/>
        </w:rPr>
        <w:t xml:space="preserve"> cash</w:t>
      </w:r>
      <w:r w:rsidRPr="00223856">
        <w:rPr>
          <w:rFonts w:asciiTheme="majorHAnsi" w:hAnsiTheme="majorHAnsi" w:cs="JCAGCO+TimesNewRoman"/>
          <w:color w:val="000000"/>
        </w:rPr>
        <w:t xml:space="preserve"> payments rather than coupons, </w:t>
      </w:r>
      <w:r w:rsidR="00847BBE">
        <w:rPr>
          <w:rFonts w:asciiTheme="majorHAnsi" w:hAnsiTheme="majorHAnsi" w:cs="JCAGCO+TimesNewRoman"/>
          <w:color w:val="000000"/>
        </w:rPr>
        <w:t xml:space="preserve">auto-enrollment </w:t>
      </w:r>
      <w:r w:rsidR="00884B2C">
        <w:rPr>
          <w:rFonts w:asciiTheme="majorHAnsi" w:hAnsiTheme="majorHAnsi" w:cs="JCAGCO+TimesNewRoman"/>
          <w:color w:val="000000"/>
        </w:rPr>
        <w:t>with sticky</w:t>
      </w:r>
      <w:r w:rsidR="00847BBE">
        <w:rPr>
          <w:rFonts w:asciiTheme="majorHAnsi" w:hAnsiTheme="majorHAnsi" w:cs="JCAGCO+TimesNewRoman"/>
          <w:color w:val="000000"/>
        </w:rPr>
        <w:t xml:space="preserve"> opt-outs</w:t>
      </w:r>
      <w:r w:rsidR="00884B2C">
        <w:rPr>
          <w:rFonts w:asciiTheme="majorHAnsi" w:hAnsiTheme="majorHAnsi" w:cs="JCAGCO+TimesNewRoman"/>
          <w:color w:val="000000"/>
        </w:rPr>
        <w:t>, and other procedural designs</w:t>
      </w:r>
      <w:r w:rsidRPr="00223856">
        <w:rPr>
          <w:rFonts w:asciiTheme="majorHAnsi" w:hAnsiTheme="majorHAnsi" w:cs="JCAGCO+TimesNewRoman"/>
          <w:color w:val="000000"/>
        </w:rPr>
        <w:t>. But in many cases any meaningful consumer recovery would require some active steps by the class member</w:t>
      </w:r>
      <w:r w:rsidR="00847BBE">
        <w:rPr>
          <w:rFonts w:asciiTheme="majorHAnsi" w:hAnsiTheme="majorHAnsi" w:cs="JCAGCO+TimesNewRoman"/>
          <w:color w:val="000000"/>
        </w:rPr>
        <w:t>s</w:t>
      </w:r>
      <w:r w:rsidRPr="00223856">
        <w:rPr>
          <w:rFonts w:asciiTheme="majorHAnsi" w:hAnsiTheme="majorHAnsi" w:cs="JCAGCO+TimesNewRoman"/>
          <w:color w:val="000000"/>
        </w:rPr>
        <w:t>, triggering again the disproportionate</w:t>
      </w:r>
      <w:r w:rsidR="00847BBE">
        <w:rPr>
          <w:rFonts w:asciiTheme="majorHAnsi" w:hAnsiTheme="majorHAnsi" w:cs="JCAGCO+TimesNewRoman"/>
          <w:color w:val="000000"/>
        </w:rPr>
        <w:t>ly</w:t>
      </w:r>
      <w:r w:rsidRPr="00223856">
        <w:rPr>
          <w:rFonts w:asciiTheme="majorHAnsi" w:hAnsiTheme="majorHAnsi" w:cs="JCAGCO+TimesNewRoman"/>
          <w:color w:val="000000"/>
        </w:rPr>
        <w:t xml:space="preserve"> low participation</w:t>
      </w:r>
      <w:r w:rsidR="00847BBE">
        <w:rPr>
          <w:rFonts w:asciiTheme="majorHAnsi" w:hAnsiTheme="majorHAnsi" w:cs="JCAGCO+TimesNewRoman"/>
          <w:color w:val="000000"/>
        </w:rPr>
        <w:t xml:space="preserve"> rate</w:t>
      </w:r>
      <w:r w:rsidRPr="00223856">
        <w:rPr>
          <w:rFonts w:asciiTheme="majorHAnsi" w:hAnsiTheme="majorHAnsi" w:cs="JCAGCO+TimesNewRoman"/>
          <w:color w:val="000000"/>
        </w:rPr>
        <w:t xml:space="preserve"> by the poor</w:t>
      </w:r>
      <w:r w:rsidR="00884B2C">
        <w:rPr>
          <w:rFonts w:asciiTheme="majorHAnsi" w:hAnsiTheme="majorHAnsi" w:cs="JCAGCO+TimesNewRoman"/>
          <w:color w:val="000000"/>
        </w:rPr>
        <w:t xml:space="preserve">, which means that any more-accessible recovery format would benefit </w:t>
      </w:r>
      <w:r w:rsidR="00EA08C3">
        <w:rPr>
          <w:rFonts w:asciiTheme="majorHAnsi" w:hAnsiTheme="majorHAnsi" w:cs="JCAGCO+TimesNewRoman"/>
          <w:color w:val="000000"/>
        </w:rPr>
        <w:t xml:space="preserve">all consumers, but </w:t>
      </w:r>
      <w:r w:rsidR="00884B2C">
        <w:rPr>
          <w:rFonts w:asciiTheme="majorHAnsi" w:hAnsiTheme="majorHAnsi" w:cs="JCAGCO+TimesNewRoman"/>
          <w:color w:val="000000"/>
        </w:rPr>
        <w:t>the poor least</w:t>
      </w:r>
      <w:r w:rsidRPr="00223856">
        <w:rPr>
          <w:rFonts w:asciiTheme="majorHAnsi" w:hAnsiTheme="majorHAnsi" w:cs="JCAGCO+TimesNewRoman"/>
          <w:color w:val="000000"/>
        </w:rPr>
        <w:t>.</w:t>
      </w:r>
      <w:r w:rsidR="003E20FF">
        <w:rPr>
          <w:rFonts w:asciiTheme="majorHAnsi" w:hAnsiTheme="majorHAnsi" w:cs="JCAGCO+TimesNewRoman"/>
          <w:color w:val="000000"/>
        </w:rPr>
        <w:t xml:space="preserve"> They do not know that they are part of a represented class action, they do not read the boilerplate notices about the settlements</w:t>
      </w:r>
      <w:r w:rsidR="006C75C7">
        <w:rPr>
          <w:rFonts w:asciiTheme="majorHAnsi" w:hAnsiTheme="majorHAnsi" w:cs="JCAGCO+TimesNewRoman"/>
          <w:color w:val="000000"/>
        </w:rPr>
        <w:t xml:space="preserve">, and have lesser need for any recovery </w:t>
      </w:r>
      <w:r w:rsidR="00EA08C3">
        <w:rPr>
          <w:rFonts w:asciiTheme="majorHAnsi" w:hAnsiTheme="majorHAnsi" w:cs="JCAGCO+TimesNewRoman"/>
          <w:color w:val="000000"/>
        </w:rPr>
        <w:t>package</w:t>
      </w:r>
      <w:r w:rsidR="006C75C7">
        <w:rPr>
          <w:rFonts w:asciiTheme="majorHAnsi" w:hAnsiTheme="majorHAnsi" w:cs="JCAGCO+TimesNewRoman"/>
          <w:color w:val="000000"/>
        </w:rPr>
        <w:t xml:space="preserve"> other than cash.</w:t>
      </w:r>
    </w:p>
    <w:p w14:paraId="78398458" w14:textId="77777777" w:rsidR="006C75C7" w:rsidRDefault="006C75C7" w:rsidP="005736AF">
      <w:pPr>
        <w:ind w:firstLine="720"/>
        <w:rPr>
          <w:rFonts w:asciiTheme="majorHAnsi" w:hAnsiTheme="majorHAnsi" w:cs="JCAGCO+TimesNewRoman"/>
          <w:color w:val="000000"/>
        </w:rPr>
      </w:pPr>
    </w:p>
    <w:p w14:paraId="51971E1A" w14:textId="77777777" w:rsidR="005958B6" w:rsidRPr="00223856" w:rsidRDefault="006C75C7" w:rsidP="005736AF">
      <w:pPr>
        <w:ind w:firstLine="720"/>
        <w:rPr>
          <w:rFonts w:asciiTheme="majorHAnsi" w:hAnsiTheme="majorHAnsi" w:cs="JCAGCO+TimesNewRoman"/>
          <w:color w:val="000000"/>
        </w:rPr>
      </w:pPr>
      <w:r>
        <w:rPr>
          <w:rFonts w:asciiTheme="majorHAnsi" w:hAnsiTheme="majorHAnsi" w:cs="JCAGCO+TimesNewRoman"/>
          <w:color w:val="000000"/>
        </w:rPr>
        <w:t>Furthermore, s</w:t>
      </w:r>
      <w:r w:rsidR="00847BBE">
        <w:rPr>
          <w:rFonts w:asciiTheme="majorHAnsi" w:hAnsiTheme="majorHAnsi" w:cs="JCAGCO+TimesNewRoman"/>
          <w:color w:val="000000"/>
        </w:rPr>
        <w:t>ince many of the compensation schedules are set by the plaintiff’</w:t>
      </w:r>
      <w:r w:rsidR="003E20FF">
        <w:rPr>
          <w:rFonts w:asciiTheme="majorHAnsi" w:hAnsiTheme="majorHAnsi" w:cs="JCAGCO+TimesNewRoman"/>
          <w:color w:val="000000"/>
        </w:rPr>
        <w:t>s attorney</w:t>
      </w:r>
      <w:r w:rsidR="00847BBE">
        <w:rPr>
          <w:rFonts w:asciiTheme="majorHAnsi" w:hAnsiTheme="majorHAnsi" w:cs="JCAGCO+TimesNewRoman"/>
          <w:color w:val="000000"/>
        </w:rPr>
        <w:t xml:space="preserve"> and </w:t>
      </w:r>
      <w:r w:rsidR="003E20FF">
        <w:rPr>
          <w:rFonts w:asciiTheme="majorHAnsi" w:hAnsiTheme="majorHAnsi" w:cs="JCAGCO+TimesNewRoman"/>
          <w:color w:val="000000"/>
        </w:rPr>
        <w:t>defendants</w:t>
      </w:r>
      <w:r>
        <w:rPr>
          <w:rFonts w:asciiTheme="majorHAnsi" w:hAnsiTheme="majorHAnsi" w:cs="JCAGCO+TimesNewRoman"/>
          <w:color w:val="000000"/>
        </w:rPr>
        <w:t xml:space="preserve"> in the settlement agreement</w:t>
      </w:r>
      <w:r w:rsidR="003E20FF">
        <w:rPr>
          <w:rFonts w:asciiTheme="majorHAnsi" w:hAnsiTheme="majorHAnsi" w:cs="JCAGCO+TimesNewRoman"/>
          <w:color w:val="000000"/>
        </w:rPr>
        <w:t>—both of whom have little interest to maximize the payouts to the anonymous class members</w:t>
      </w:r>
      <w:r>
        <w:rPr>
          <w:rFonts w:asciiTheme="majorHAnsi" w:hAnsiTheme="majorHAnsi" w:cs="JCAGCO+TimesNewRoman"/>
          <w:color w:val="000000"/>
        </w:rPr>
        <w:t xml:space="preserve"> who are under-represented in these settlement negotiations</w:t>
      </w:r>
      <w:r w:rsidR="003E20FF">
        <w:rPr>
          <w:rFonts w:asciiTheme="majorHAnsi" w:hAnsiTheme="majorHAnsi" w:cs="JCAGCO+TimesNewRoman"/>
          <w:color w:val="000000"/>
        </w:rPr>
        <w:t>—the mechanism is inherently likely to shortchange the poorest among the class members.</w:t>
      </w:r>
    </w:p>
    <w:p w14:paraId="2D6AA848" w14:textId="77777777" w:rsidR="00EA06F8" w:rsidRDefault="00EA06F8" w:rsidP="00D353C8">
      <w:pPr>
        <w:rPr>
          <w:rFonts w:asciiTheme="majorHAnsi" w:hAnsiTheme="majorHAnsi" w:cs="JCAGCO+TimesNewRoman"/>
          <w:color w:val="000000"/>
        </w:rPr>
      </w:pPr>
    </w:p>
    <w:p w14:paraId="6FC6AE04" w14:textId="77777777" w:rsidR="00EA06F8" w:rsidRPr="00223856" w:rsidRDefault="00F303BB" w:rsidP="005736AF">
      <w:pPr>
        <w:ind w:firstLine="720"/>
        <w:rPr>
          <w:rFonts w:asciiTheme="majorHAnsi" w:hAnsiTheme="majorHAnsi" w:cs="JCAGCO+TimesNewRoman"/>
          <w:color w:val="000000"/>
        </w:rPr>
      </w:pPr>
      <w:r w:rsidRPr="00223856">
        <w:rPr>
          <w:rFonts w:asciiTheme="majorHAnsi" w:hAnsiTheme="majorHAnsi" w:cs="JCAGCO+TimesNewRoman"/>
          <w:color w:val="000000"/>
        </w:rPr>
        <w:t>It is possible that the value of class litigation would accrue to all, if the remedy granted is a forward looking injunction</w:t>
      </w:r>
      <w:r w:rsidR="00884B2C">
        <w:rPr>
          <w:rFonts w:asciiTheme="majorHAnsi" w:hAnsiTheme="majorHAnsi" w:cs="JCAGCO+TimesNewRoman"/>
          <w:color w:val="000000"/>
        </w:rPr>
        <w:t xml:space="preserve"> or corrective advertising</w:t>
      </w:r>
      <w:r w:rsidRPr="00223856">
        <w:rPr>
          <w:rFonts w:asciiTheme="majorHAnsi" w:hAnsiTheme="majorHAnsi" w:cs="JCAGCO+TimesNewRoman"/>
          <w:color w:val="000000"/>
        </w:rPr>
        <w:t xml:space="preserve">. But </w:t>
      </w:r>
      <w:r w:rsidR="005736AF">
        <w:rPr>
          <w:rFonts w:asciiTheme="majorHAnsi" w:hAnsiTheme="majorHAnsi" w:cs="JCAGCO+TimesNewRoman"/>
          <w:color w:val="000000"/>
        </w:rPr>
        <w:t xml:space="preserve">businesses would have no incentive to comply prior to the issue of an injunction. Furthermore, </w:t>
      </w:r>
      <w:r w:rsidRPr="00223856">
        <w:rPr>
          <w:rFonts w:asciiTheme="majorHAnsi" w:hAnsiTheme="majorHAnsi" w:cs="JCAGCO+TimesNewRoman"/>
          <w:color w:val="000000"/>
        </w:rPr>
        <w:t xml:space="preserve">there is less reason to expect that attorneys </w:t>
      </w:r>
      <w:r w:rsidR="00F64213" w:rsidRPr="00223856">
        <w:rPr>
          <w:rFonts w:asciiTheme="majorHAnsi" w:hAnsiTheme="majorHAnsi" w:cs="JCAGCO+TimesNewRoman"/>
          <w:color w:val="000000"/>
        </w:rPr>
        <w:t xml:space="preserve">and </w:t>
      </w:r>
      <w:r w:rsidRPr="00223856">
        <w:rPr>
          <w:rFonts w:asciiTheme="majorHAnsi" w:hAnsiTheme="majorHAnsi" w:cs="JCAGCO+TimesNewRoman"/>
          <w:color w:val="000000"/>
        </w:rPr>
        <w:t xml:space="preserve">plaintiffs will launch costly class-wide litigation without the reward of compensatory damages. Cease and desist suits are therefore the likely domain of agency-led enforcement. </w:t>
      </w:r>
    </w:p>
    <w:p w14:paraId="340EC3D1" w14:textId="77777777" w:rsidR="00F303BB" w:rsidRPr="00223856" w:rsidRDefault="00F303BB" w:rsidP="00D353C8">
      <w:pPr>
        <w:rPr>
          <w:rFonts w:asciiTheme="majorHAnsi" w:hAnsiTheme="majorHAnsi" w:cs="JCAGCO+TimesNewRoman"/>
          <w:color w:val="000000"/>
        </w:rPr>
      </w:pPr>
    </w:p>
    <w:p w14:paraId="357B0636" w14:textId="77777777" w:rsidR="006C75C7" w:rsidRPr="00884B2C" w:rsidRDefault="006C75C7" w:rsidP="006C75C7">
      <w:pPr>
        <w:pStyle w:val="ListParagraph"/>
        <w:numPr>
          <w:ilvl w:val="0"/>
          <w:numId w:val="9"/>
        </w:numPr>
        <w:rPr>
          <w:rFonts w:asciiTheme="majorHAnsi" w:hAnsiTheme="majorHAnsi" w:cs="JCAGCO+TimesNewRoman"/>
          <w:i/>
          <w:color w:val="000000"/>
        </w:rPr>
      </w:pPr>
      <w:r w:rsidRPr="00884B2C">
        <w:rPr>
          <w:rFonts w:asciiTheme="majorHAnsi" w:hAnsiTheme="majorHAnsi" w:cs="JCAGCO+TimesNewRoman"/>
          <w:i/>
          <w:color w:val="000000"/>
        </w:rPr>
        <w:t>Deterrence</w:t>
      </w:r>
    </w:p>
    <w:p w14:paraId="4BAA24ED" w14:textId="77777777" w:rsidR="006C75C7" w:rsidRPr="006C75C7" w:rsidRDefault="006C75C7" w:rsidP="006C75C7">
      <w:pPr>
        <w:rPr>
          <w:rFonts w:asciiTheme="majorHAnsi" w:hAnsiTheme="majorHAnsi" w:cs="JCAGCO+TimesNewRoman"/>
          <w:color w:val="000000"/>
        </w:rPr>
      </w:pPr>
    </w:p>
    <w:p w14:paraId="595773BC" w14:textId="77777777" w:rsidR="00732B53" w:rsidRDefault="00F303BB" w:rsidP="00C06367">
      <w:pPr>
        <w:ind w:firstLine="720"/>
        <w:rPr>
          <w:rFonts w:asciiTheme="majorHAnsi" w:hAnsiTheme="majorHAnsi" w:cs="JCAGCO+TimesNewRoman"/>
          <w:color w:val="000000"/>
        </w:rPr>
      </w:pPr>
      <w:r w:rsidRPr="00223856">
        <w:rPr>
          <w:rFonts w:asciiTheme="majorHAnsi" w:hAnsiTheme="majorHAnsi" w:cs="JCAGCO+TimesNewRoman"/>
          <w:color w:val="000000"/>
        </w:rPr>
        <w:t xml:space="preserve">What about the deterrence effect? </w:t>
      </w:r>
      <w:r w:rsidR="00E96CF6" w:rsidRPr="00223856">
        <w:rPr>
          <w:rFonts w:asciiTheme="majorHAnsi" w:hAnsiTheme="majorHAnsi" w:cs="JCAGCO+TimesNewRoman"/>
          <w:color w:val="000000"/>
        </w:rPr>
        <w:t xml:space="preserve">Do class member—rich and poor alike—enjoy the compliance incentives that the threat of class action creates? </w:t>
      </w:r>
    </w:p>
    <w:p w14:paraId="0AFFD2C2" w14:textId="77777777" w:rsidR="00732B53" w:rsidRDefault="00732B53" w:rsidP="00C06367">
      <w:pPr>
        <w:ind w:firstLine="720"/>
        <w:rPr>
          <w:rFonts w:asciiTheme="majorHAnsi" w:hAnsiTheme="majorHAnsi" w:cs="JCAGCO+TimesNewRoman"/>
          <w:color w:val="000000"/>
        </w:rPr>
      </w:pPr>
    </w:p>
    <w:p w14:paraId="13451FB1" w14:textId="77777777" w:rsidR="00732B53" w:rsidRDefault="00732B53" w:rsidP="00C06367">
      <w:pPr>
        <w:ind w:firstLine="720"/>
        <w:rPr>
          <w:rFonts w:asciiTheme="majorHAnsi" w:hAnsiTheme="majorHAnsi" w:cs="JCAGCO+TimesNewRoman"/>
          <w:color w:val="000000"/>
        </w:rPr>
      </w:pPr>
      <w:r>
        <w:rPr>
          <w:rFonts w:asciiTheme="majorHAnsi" w:hAnsiTheme="majorHAnsi" w:cs="JCAGCO+TimesNewRoman"/>
          <w:color w:val="000000"/>
        </w:rPr>
        <w:t>A deterrence effect would arise if</w:t>
      </w:r>
      <w:r w:rsidR="00E96CF6" w:rsidRPr="00223856">
        <w:rPr>
          <w:rFonts w:asciiTheme="majorHAnsi" w:hAnsiTheme="majorHAnsi" w:cs="JCAGCO+TimesNewRoman"/>
          <w:color w:val="000000"/>
        </w:rPr>
        <w:t xml:space="preserve"> class action</w:t>
      </w:r>
      <w:r>
        <w:rPr>
          <w:rFonts w:asciiTheme="majorHAnsi" w:hAnsiTheme="majorHAnsi" w:cs="JCAGCO+TimesNewRoman"/>
          <w:color w:val="000000"/>
        </w:rPr>
        <w:t>s lead to</w:t>
      </w:r>
      <w:r w:rsidR="00E96CF6" w:rsidRPr="00223856">
        <w:rPr>
          <w:rFonts w:asciiTheme="majorHAnsi" w:hAnsiTheme="majorHAnsi" w:cs="JCAGCO+TimesNewRoman"/>
          <w:color w:val="000000"/>
        </w:rPr>
        <w:t xml:space="preserve"> </w:t>
      </w:r>
      <w:r>
        <w:rPr>
          <w:rFonts w:asciiTheme="majorHAnsi" w:hAnsiTheme="majorHAnsi" w:cs="JCAGCO+TimesNewRoman"/>
          <w:color w:val="000000"/>
        </w:rPr>
        <w:t xml:space="preserve">substantial </w:t>
      </w:r>
      <w:r w:rsidR="00E96CF6" w:rsidRPr="00223856">
        <w:rPr>
          <w:rFonts w:asciiTheme="majorHAnsi" w:hAnsiTheme="majorHAnsi" w:cs="JCAGCO+TimesNewRoman"/>
          <w:color w:val="000000"/>
        </w:rPr>
        <w:t xml:space="preserve">judgments and settlements </w:t>
      </w:r>
      <w:r>
        <w:rPr>
          <w:rFonts w:asciiTheme="majorHAnsi" w:hAnsiTheme="majorHAnsi" w:cs="JCAGCO+TimesNewRoman"/>
          <w:color w:val="000000"/>
        </w:rPr>
        <w:t>that are paid out</w:t>
      </w:r>
      <w:r w:rsidR="00E96CF6" w:rsidRPr="00223856">
        <w:rPr>
          <w:rFonts w:asciiTheme="majorHAnsi" w:hAnsiTheme="majorHAnsi" w:cs="JCAGCO+TimesNewRoman"/>
          <w:color w:val="000000"/>
        </w:rPr>
        <w:t xml:space="preserve">. </w:t>
      </w:r>
      <w:r>
        <w:rPr>
          <w:rFonts w:asciiTheme="majorHAnsi" w:hAnsiTheme="majorHAnsi" w:cs="JCAGCO+TimesNewRoman"/>
          <w:color w:val="000000"/>
        </w:rPr>
        <w:t>The deterrence effect would diminish</w:t>
      </w:r>
      <w:r w:rsidR="00884B2C">
        <w:rPr>
          <w:rFonts w:asciiTheme="majorHAnsi" w:hAnsiTheme="majorHAnsi" w:cs="JCAGCO+TimesNewRoman"/>
          <w:color w:val="000000"/>
        </w:rPr>
        <w:t xml:space="preserve"> if</w:t>
      </w:r>
      <w:r>
        <w:rPr>
          <w:rFonts w:asciiTheme="majorHAnsi" w:hAnsiTheme="majorHAnsi" w:cs="JCAGCO+TimesNewRoman"/>
          <w:color w:val="000000"/>
        </w:rPr>
        <w:t xml:space="preserve"> </w:t>
      </w:r>
      <w:r w:rsidR="00E96CF6" w:rsidRPr="00223856">
        <w:rPr>
          <w:rFonts w:asciiTheme="majorHAnsi" w:hAnsiTheme="majorHAnsi" w:cs="JCAGCO+TimesNewRoman"/>
          <w:color w:val="000000"/>
        </w:rPr>
        <w:t xml:space="preserve">these </w:t>
      </w:r>
      <w:r>
        <w:rPr>
          <w:rFonts w:asciiTheme="majorHAnsi" w:hAnsiTheme="majorHAnsi" w:cs="JCAGCO+TimesNewRoman"/>
          <w:color w:val="000000"/>
        </w:rPr>
        <w:t xml:space="preserve">judgments and </w:t>
      </w:r>
      <w:r w:rsidR="00E96CF6" w:rsidRPr="00223856">
        <w:rPr>
          <w:rFonts w:asciiTheme="majorHAnsi" w:hAnsiTheme="majorHAnsi" w:cs="JCAGCO+TimesNewRoman"/>
          <w:color w:val="000000"/>
        </w:rPr>
        <w:t>settlements are only partia</w:t>
      </w:r>
      <w:r>
        <w:rPr>
          <w:rFonts w:asciiTheme="majorHAnsi" w:hAnsiTheme="majorHAnsi" w:cs="JCAGCO+TimesNewRoman"/>
          <w:color w:val="000000"/>
        </w:rPr>
        <w:t>lly cashed in by consumers</w:t>
      </w:r>
      <w:r w:rsidR="00E96CF6" w:rsidRPr="00223856">
        <w:rPr>
          <w:rFonts w:asciiTheme="majorHAnsi" w:hAnsiTheme="majorHAnsi" w:cs="JCAGCO+TimesNewRoman"/>
          <w:color w:val="000000"/>
        </w:rPr>
        <w:t xml:space="preserve">. </w:t>
      </w:r>
      <w:r>
        <w:rPr>
          <w:rFonts w:asciiTheme="majorHAnsi" w:hAnsiTheme="majorHAnsi" w:cs="JCAGCO+TimesNewRoman"/>
          <w:color w:val="000000"/>
        </w:rPr>
        <w:t>While we know that redemption rates are low, we also know that</w:t>
      </w:r>
      <w:r w:rsidR="00E96CF6" w:rsidRPr="00223856">
        <w:rPr>
          <w:rFonts w:asciiTheme="majorHAnsi" w:hAnsiTheme="majorHAnsi" w:cs="JCAGCO+TimesNewRoman"/>
          <w:color w:val="000000"/>
        </w:rPr>
        <w:t>, businesses do seem to worry a</w:t>
      </w:r>
      <w:r w:rsidR="00B36F5B" w:rsidRPr="00223856">
        <w:rPr>
          <w:rFonts w:asciiTheme="majorHAnsi" w:hAnsiTheme="majorHAnsi" w:cs="JCAGCO+TimesNewRoman"/>
          <w:color w:val="000000"/>
        </w:rPr>
        <w:t>bout the potential class action liability</w:t>
      </w:r>
      <w:r w:rsidR="00E96CF6" w:rsidRPr="00223856">
        <w:rPr>
          <w:rFonts w:asciiTheme="majorHAnsi" w:hAnsiTheme="majorHAnsi" w:cs="JCAGCO+TimesNewRoman"/>
          <w:color w:val="000000"/>
        </w:rPr>
        <w:t xml:space="preserve"> (or else they would not draft class action waivers through </w:t>
      </w:r>
      <w:r w:rsidR="00E96CF6" w:rsidRPr="00223856">
        <w:rPr>
          <w:rFonts w:asciiTheme="majorHAnsi" w:hAnsiTheme="majorHAnsi" w:cs="JCAGCO+TimesNewRoman"/>
          <w:color w:val="000000"/>
        </w:rPr>
        <w:lastRenderedPageBreak/>
        <w:t xml:space="preserve">arbitration clauses). </w:t>
      </w:r>
      <w:r>
        <w:rPr>
          <w:rFonts w:asciiTheme="majorHAnsi" w:hAnsiTheme="majorHAnsi" w:cs="JCAGCO+TimesNewRoman"/>
          <w:color w:val="000000"/>
        </w:rPr>
        <w:t xml:space="preserve">And so, it is plausible that </w:t>
      </w:r>
      <w:r w:rsidR="0083008D">
        <w:rPr>
          <w:rFonts w:asciiTheme="majorHAnsi" w:hAnsiTheme="majorHAnsi" w:cs="JCAGCO+TimesNewRoman"/>
          <w:color w:val="000000"/>
        </w:rPr>
        <w:t>costly</w:t>
      </w:r>
      <w:r>
        <w:rPr>
          <w:rFonts w:asciiTheme="majorHAnsi" w:hAnsiTheme="majorHAnsi" w:cs="JCAGCO+TimesNewRoman"/>
          <w:color w:val="000000"/>
        </w:rPr>
        <w:t xml:space="preserve"> liability is generated even through partial redemption, </w:t>
      </w:r>
      <w:r w:rsidR="0083008D">
        <w:rPr>
          <w:rFonts w:asciiTheme="majorHAnsi" w:hAnsiTheme="majorHAnsi" w:cs="JCAGCO+TimesNewRoman"/>
          <w:color w:val="000000"/>
        </w:rPr>
        <w:t xml:space="preserve">forcing </w:t>
      </w:r>
      <w:r>
        <w:rPr>
          <w:rFonts w:asciiTheme="majorHAnsi" w:hAnsiTheme="majorHAnsi" w:cs="JCAGCO+TimesNewRoman"/>
          <w:color w:val="000000"/>
        </w:rPr>
        <w:t>businesses to account for</w:t>
      </w:r>
      <w:r w:rsidR="0083008D">
        <w:rPr>
          <w:rFonts w:asciiTheme="majorHAnsi" w:hAnsiTheme="majorHAnsi" w:cs="JCAGCO+TimesNewRoman"/>
          <w:color w:val="000000"/>
        </w:rPr>
        <w:t xml:space="preserve"> it</w:t>
      </w:r>
      <w:r>
        <w:rPr>
          <w:rFonts w:asciiTheme="majorHAnsi" w:hAnsiTheme="majorHAnsi" w:cs="JCAGCO+TimesNewRoman"/>
          <w:color w:val="000000"/>
        </w:rPr>
        <w:t xml:space="preserve"> in planning their </w:t>
      </w:r>
      <w:r w:rsidR="00884B2C">
        <w:rPr>
          <w:rFonts w:asciiTheme="majorHAnsi" w:hAnsiTheme="majorHAnsi" w:cs="JCAGCO+TimesNewRoman"/>
          <w:color w:val="000000"/>
        </w:rPr>
        <w:t>primary conduct</w:t>
      </w:r>
      <w:r>
        <w:rPr>
          <w:rFonts w:asciiTheme="majorHAnsi" w:hAnsiTheme="majorHAnsi" w:cs="JCAGCO+TimesNewRoman"/>
          <w:color w:val="000000"/>
        </w:rPr>
        <w:t>.</w:t>
      </w:r>
    </w:p>
    <w:p w14:paraId="5DDD7A27" w14:textId="77777777" w:rsidR="00732B53" w:rsidRDefault="00732B53" w:rsidP="00C06367">
      <w:pPr>
        <w:ind w:firstLine="720"/>
        <w:rPr>
          <w:rFonts w:asciiTheme="majorHAnsi" w:hAnsiTheme="majorHAnsi" w:cs="JCAGCO+TimesNewRoman"/>
          <w:color w:val="000000"/>
        </w:rPr>
      </w:pPr>
    </w:p>
    <w:p w14:paraId="14A4147F" w14:textId="77777777" w:rsidR="00C06367" w:rsidRPr="00223856" w:rsidRDefault="007369CD" w:rsidP="00C06367">
      <w:pPr>
        <w:ind w:firstLine="720"/>
        <w:rPr>
          <w:rFonts w:asciiTheme="majorHAnsi" w:hAnsiTheme="majorHAnsi" w:cs="JCAGCO+TimesNewRoman"/>
          <w:color w:val="000000"/>
        </w:rPr>
      </w:pPr>
      <w:r>
        <w:rPr>
          <w:rFonts w:asciiTheme="majorHAnsi" w:hAnsiTheme="majorHAnsi" w:cs="JCAGCO+TimesNewRoman"/>
          <w:color w:val="000000"/>
        </w:rPr>
        <w:t xml:space="preserve">Ideally, class actions would target the firms that commit the worst offenses against consumers. </w:t>
      </w:r>
      <w:r w:rsidR="00EF681F">
        <w:rPr>
          <w:rFonts w:asciiTheme="majorHAnsi" w:hAnsiTheme="majorHAnsi" w:cs="JCAGCO+TimesNewRoman"/>
          <w:color w:val="000000"/>
        </w:rPr>
        <w:t>They would target producers who deceive consumers (</w:t>
      </w:r>
      <w:proofErr w:type="spellStart"/>
      <w:r w:rsidR="00EF681F">
        <w:rPr>
          <w:rFonts w:asciiTheme="majorHAnsi" w:hAnsiTheme="majorHAnsi" w:cs="JCAGCO+TimesNewRoman"/>
          <w:color w:val="000000"/>
        </w:rPr>
        <w:t>e.g</w:t>
      </w:r>
      <w:proofErr w:type="spellEnd"/>
      <w:r w:rsidR="00EF681F">
        <w:rPr>
          <w:rFonts w:asciiTheme="majorHAnsi" w:hAnsiTheme="majorHAnsi" w:cs="JCAGCO+TimesNewRoman"/>
          <w:color w:val="000000"/>
        </w:rPr>
        <w:t xml:space="preserve">, by falsely labeling products and charging higher prices); or manufacturers of defective and injurious products; or business who fraudulently bill consumers more than they are entitled. </w:t>
      </w:r>
      <w:r>
        <w:rPr>
          <w:rFonts w:asciiTheme="majorHAnsi" w:hAnsiTheme="majorHAnsi" w:cs="JCAGCO+TimesNewRoman"/>
          <w:color w:val="000000"/>
        </w:rPr>
        <w:t xml:space="preserve">But since class actions are often driven by the financial </w:t>
      </w:r>
      <w:r w:rsidR="0083008D">
        <w:rPr>
          <w:rFonts w:asciiTheme="majorHAnsi" w:hAnsiTheme="majorHAnsi" w:cs="JCAGCO+TimesNewRoman"/>
          <w:color w:val="000000"/>
        </w:rPr>
        <w:t>incentives</w:t>
      </w:r>
      <w:r>
        <w:rPr>
          <w:rFonts w:asciiTheme="majorHAnsi" w:hAnsiTheme="majorHAnsi" w:cs="JCAGCO+TimesNewRoman"/>
          <w:color w:val="000000"/>
        </w:rPr>
        <w:t xml:space="preserve"> of the attorneys launching them, they </w:t>
      </w:r>
      <w:r w:rsidR="0083008D">
        <w:rPr>
          <w:rFonts w:asciiTheme="majorHAnsi" w:hAnsiTheme="majorHAnsi" w:cs="JCAGCO+TimesNewRoman"/>
          <w:color w:val="000000"/>
        </w:rPr>
        <w:t xml:space="preserve">are likely to </w:t>
      </w:r>
      <w:r>
        <w:rPr>
          <w:rFonts w:asciiTheme="majorHAnsi" w:hAnsiTheme="majorHAnsi" w:cs="JCAGCO+TimesNewRoman"/>
          <w:color w:val="000000"/>
        </w:rPr>
        <w:t xml:space="preserve">target the firms that have deep enough pockets to pay. </w:t>
      </w:r>
      <w:r w:rsidR="009A28D8">
        <w:rPr>
          <w:rFonts w:asciiTheme="majorHAnsi" w:hAnsiTheme="majorHAnsi" w:cs="JCAGCO+TimesNewRoman"/>
          <w:color w:val="000000"/>
        </w:rPr>
        <w:t xml:space="preserve">Bear in mind that </w:t>
      </w:r>
      <w:r>
        <w:rPr>
          <w:rFonts w:asciiTheme="majorHAnsi" w:hAnsiTheme="majorHAnsi" w:cs="JCAGCO+TimesNewRoman"/>
          <w:color w:val="000000"/>
        </w:rPr>
        <w:t>firms</w:t>
      </w:r>
      <w:r w:rsidR="009A28D8">
        <w:rPr>
          <w:rFonts w:asciiTheme="majorHAnsi" w:hAnsiTheme="majorHAnsi" w:cs="JCAGCO+TimesNewRoman"/>
          <w:color w:val="000000"/>
        </w:rPr>
        <w:t xml:space="preserve"> with deep pockets are often those that have successfully developed strong brands and have much invested in their reputation. If a feature of the product malfunctions, </w:t>
      </w:r>
      <w:r>
        <w:rPr>
          <w:rFonts w:asciiTheme="majorHAnsi" w:hAnsiTheme="majorHAnsi" w:cs="JCAGCO+TimesNewRoman"/>
          <w:color w:val="000000"/>
        </w:rPr>
        <w:t xml:space="preserve">or if the firm promoted a feature that caused disappointment to consumers, </w:t>
      </w:r>
      <w:r w:rsidR="009A28D8">
        <w:rPr>
          <w:rFonts w:asciiTheme="majorHAnsi" w:hAnsiTheme="majorHAnsi" w:cs="JCAGCO+TimesNewRoman"/>
          <w:color w:val="000000"/>
        </w:rPr>
        <w:t xml:space="preserve">the </w:t>
      </w:r>
      <w:r>
        <w:rPr>
          <w:rFonts w:asciiTheme="majorHAnsi" w:hAnsiTheme="majorHAnsi" w:cs="JCAGCO+TimesNewRoman"/>
          <w:color w:val="000000"/>
        </w:rPr>
        <w:t>firm with the strong brand and wide reputation would</w:t>
      </w:r>
      <w:r w:rsidR="009A28D8">
        <w:rPr>
          <w:rFonts w:asciiTheme="majorHAnsi" w:hAnsiTheme="majorHAnsi" w:cs="JCAGCO+TimesNewRoman"/>
          <w:color w:val="000000"/>
        </w:rPr>
        <w:t xml:space="preserve"> </w:t>
      </w:r>
      <w:r w:rsidR="0083008D">
        <w:rPr>
          <w:rFonts w:asciiTheme="majorHAnsi" w:hAnsiTheme="majorHAnsi" w:cs="JCAGCO+TimesNewRoman"/>
          <w:color w:val="000000"/>
        </w:rPr>
        <w:t>have more on the line and a stronger incentive to redress the problem to avoid the negative reviews</w:t>
      </w:r>
      <w:r w:rsidR="009A28D8">
        <w:rPr>
          <w:rFonts w:asciiTheme="majorHAnsi" w:hAnsiTheme="majorHAnsi" w:cs="JCAGCO+TimesNewRoman"/>
          <w:color w:val="000000"/>
        </w:rPr>
        <w:t>. If the business stonewalls and refuses to redress a complaint, it may likely be the type of complaint that invokes a technical</w:t>
      </w:r>
      <w:r>
        <w:rPr>
          <w:rFonts w:asciiTheme="majorHAnsi" w:hAnsiTheme="majorHAnsi" w:cs="JCAGCO+TimesNewRoman"/>
          <w:color w:val="000000"/>
        </w:rPr>
        <w:t xml:space="preserve"> or frivolous</w:t>
      </w:r>
      <w:r w:rsidR="009A28D8">
        <w:rPr>
          <w:rFonts w:asciiTheme="majorHAnsi" w:hAnsiTheme="majorHAnsi" w:cs="JCAGCO+TimesNewRoman"/>
          <w:color w:val="000000"/>
        </w:rPr>
        <w:t xml:space="preserve"> violat</w:t>
      </w:r>
      <w:r w:rsidR="0083008D">
        <w:rPr>
          <w:rFonts w:asciiTheme="majorHAnsi" w:hAnsiTheme="majorHAnsi" w:cs="JCAGCO+TimesNewRoman"/>
          <w:color w:val="000000"/>
        </w:rPr>
        <w:t>ion, or a matter of minor value</w:t>
      </w:r>
      <w:r w:rsidR="009A28D8">
        <w:rPr>
          <w:rFonts w:asciiTheme="majorHAnsi" w:hAnsiTheme="majorHAnsi" w:cs="JCAGCO+TimesNewRoman"/>
          <w:color w:val="000000"/>
        </w:rPr>
        <w:t>.</w:t>
      </w:r>
    </w:p>
    <w:p w14:paraId="75B2F5F2" w14:textId="77777777" w:rsidR="00B36F5B" w:rsidRPr="00223856" w:rsidRDefault="00B36F5B" w:rsidP="00D353C8">
      <w:pPr>
        <w:rPr>
          <w:rFonts w:asciiTheme="majorHAnsi" w:hAnsiTheme="majorHAnsi" w:cs="JCAGCO+TimesNewRoman"/>
          <w:color w:val="000000"/>
        </w:rPr>
      </w:pPr>
    </w:p>
    <w:p w14:paraId="6D922C63" w14:textId="77777777" w:rsidR="00223856" w:rsidRDefault="00B36F5B" w:rsidP="005736AF">
      <w:pPr>
        <w:ind w:firstLine="720"/>
        <w:rPr>
          <w:rFonts w:asciiTheme="majorHAnsi" w:hAnsiTheme="majorHAnsi" w:cs="JCAGCO+TimesNewRoman"/>
          <w:color w:val="000000"/>
        </w:rPr>
      </w:pPr>
      <w:r w:rsidRPr="00223856">
        <w:rPr>
          <w:rFonts w:asciiTheme="majorHAnsi" w:hAnsiTheme="majorHAnsi" w:cs="JCAGCO+TimesNewRoman"/>
          <w:color w:val="000000"/>
        </w:rPr>
        <w:t xml:space="preserve">To be sure, there </w:t>
      </w:r>
      <w:r w:rsidR="0083008D">
        <w:rPr>
          <w:rFonts w:asciiTheme="majorHAnsi" w:hAnsiTheme="majorHAnsi" w:cs="JCAGCO+TimesNewRoman"/>
          <w:color w:val="000000"/>
        </w:rPr>
        <w:t xml:space="preserve">are </w:t>
      </w:r>
      <w:r w:rsidRPr="00223856">
        <w:rPr>
          <w:rFonts w:asciiTheme="majorHAnsi" w:hAnsiTheme="majorHAnsi" w:cs="JCAGCO+TimesNewRoman"/>
          <w:color w:val="000000"/>
        </w:rPr>
        <w:t>many meritorious claim</w:t>
      </w:r>
      <w:r w:rsidR="006533AD" w:rsidRPr="00223856">
        <w:rPr>
          <w:rFonts w:asciiTheme="majorHAnsi" w:hAnsiTheme="majorHAnsi" w:cs="JCAGCO+TimesNewRoman"/>
          <w:color w:val="000000"/>
        </w:rPr>
        <w:t>s against shady businesses</w:t>
      </w:r>
      <w:r w:rsidR="003F72BD" w:rsidRPr="00223856">
        <w:rPr>
          <w:rFonts w:asciiTheme="majorHAnsi" w:hAnsiTheme="majorHAnsi" w:cs="JCAGCO+TimesNewRoman"/>
          <w:color w:val="000000"/>
        </w:rPr>
        <w:t xml:space="preserve"> specializing</w:t>
      </w:r>
      <w:r w:rsidRPr="00223856">
        <w:rPr>
          <w:rFonts w:asciiTheme="majorHAnsi" w:hAnsiTheme="majorHAnsi" w:cs="JCAGCO+TimesNewRoman"/>
          <w:color w:val="000000"/>
        </w:rPr>
        <w:t xml:space="preserve"> in </w:t>
      </w:r>
      <w:r w:rsidR="003F72BD" w:rsidRPr="00223856">
        <w:rPr>
          <w:rFonts w:asciiTheme="majorHAnsi" w:hAnsiTheme="majorHAnsi" w:cs="JCAGCO+TimesNewRoman"/>
          <w:color w:val="000000"/>
        </w:rPr>
        <w:t>the gray areas</w:t>
      </w:r>
      <w:r w:rsidRPr="00223856">
        <w:rPr>
          <w:rFonts w:asciiTheme="majorHAnsi" w:hAnsiTheme="majorHAnsi" w:cs="JCAGCO+TimesNewRoman"/>
          <w:color w:val="000000"/>
        </w:rPr>
        <w:t xml:space="preserve"> of sub-prime lending</w:t>
      </w:r>
      <w:r w:rsidR="0083008D">
        <w:rPr>
          <w:rFonts w:asciiTheme="majorHAnsi" w:hAnsiTheme="majorHAnsi" w:cs="JCAGCO+TimesNewRoman"/>
          <w:color w:val="000000"/>
        </w:rPr>
        <w:t xml:space="preserve"> </w:t>
      </w:r>
      <w:r w:rsidR="0083008D" w:rsidRPr="00223856">
        <w:rPr>
          <w:rFonts w:asciiTheme="majorHAnsi" w:hAnsiTheme="majorHAnsi" w:cs="JCAGCO+TimesNewRoman"/>
          <w:color w:val="000000"/>
        </w:rPr>
        <w:t>(</w:t>
      </w:r>
      <w:proofErr w:type="spellStart"/>
      <w:r w:rsidR="0083008D" w:rsidRPr="00223856">
        <w:rPr>
          <w:rFonts w:asciiTheme="majorHAnsi" w:hAnsiTheme="majorHAnsi" w:cs="JCAGCO+TimesNewRoman"/>
          <w:color w:val="000000"/>
        </w:rPr>
        <w:t>e.g</w:t>
      </w:r>
      <w:proofErr w:type="spellEnd"/>
      <w:r w:rsidR="0083008D" w:rsidRPr="00223856">
        <w:rPr>
          <w:rFonts w:asciiTheme="majorHAnsi" w:hAnsiTheme="majorHAnsi" w:cs="JCAGCO+TimesNewRoman"/>
          <w:color w:val="000000"/>
        </w:rPr>
        <w:t>, credit-repair organizations, debt-collection practices</w:t>
      </w:r>
      <w:r w:rsidR="0083008D">
        <w:rPr>
          <w:rFonts w:asciiTheme="majorHAnsi" w:hAnsiTheme="majorHAnsi" w:cs="JCAGCO+TimesNewRoman"/>
          <w:color w:val="000000"/>
        </w:rPr>
        <w:t>), and pursuing them through class actions</w:t>
      </w:r>
      <w:r w:rsidRPr="00223856">
        <w:rPr>
          <w:rFonts w:asciiTheme="majorHAnsi" w:hAnsiTheme="majorHAnsi" w:cs="JCAGCO+TimesNewRoman"/>
          <w:color w:val="000000"/>
        </w:rPr>
        <w:t xml:space="preserve"> </w:t>
      </w:r>
      <w:r w:rsidR="003F72BD" w:rsidRPr="00223856">
        <w:rPr>
          <w:rFonts w:asciiTheme="majorHAnsi" w:hAnsiTheme="majorHAnsi" w:cs="JCAGCO+TimesNewRoman"/>
          <w:color w:val="000000"/>
        </w:rPr>
        <w:t>could be</w:t>
      </w:r>
      <w:r w:rsidRPr="00223856">
        <w:rPr>
          <w:rFonts w:asciiTheme="majorHAnsi" w:hAnsiTheme="majorHAnsi" w:cs="JCAGCO+TimesNewRoman"/>
          <w:color w:val="000000"/>
        </w:rPr>
        <w:t xml:space="preserve"> particularly </w:t>
      </w:r>
      <w:r w:rsidR="003F72BD" w:rsidRPr="00223856">
        <w:rPr>
          <w:rFonts w:asciiTheme="majorHAnsi" w:hAnsiTheme="majorHAnsi" w:cs="JCAGCO+TimesNewRoman"/>
          <w:color w:val="000000"/>
        </w:rPr>
        <w:t>advantageous</w:t>
      </w:r>
      <w:r w:rsidRPr="00223856">
        <w:rPr>
          <w:rFonts w:asciiTheme="majorHAnsi" w:hAnsiTheme="majorHAnsi" w:cs="JCAGCO+TimesNewRoman"/>
          <w:color w:val="000000"/>
        </w:rPr>
        <w:t xml:space="preserve"> to the poor. Class actions in these areas could at times provide an important </w:t>
      </w:r>
      <w:r w:rsidR="006533AD" w:rsidRPr="00223856">
        <w:rPr>
          <w:rFonts w:asciiTheme="majorHAnsi" w:hAnsiTheme="majorHAnsi" w:cs="JCAGCO+TimesNewRoman"/>
          <w:color w:val="000000"/>
        </w:rPr>
        <w:t>supplement to public enforcement, and arbitration clauses that shut down the class acti</w:t>
      </w:r>
      <w:r w:rsidR="003F72BD" w:rsidRPr="00223856">
        <w:rPr>
          <w:rFonts w:asciiTheme="majorHAnsi" w:hAnsiTheme="majorHAnsi" w:cs="JCAGCO+TimesNewRoman"/>
          <w:color w:val="000000"/>
        </w:rPr>
        <w:t xml:space="preserve">on avenue would then be harmful, </w:t>
      </w:r>
      <w:r w:rsidR="006533AD" w:rsidRPr="00223856">
        <w:rPr>
          <w:rFonts w:asciiTheme="majorHAnsi" w:hAnsiTheme="majorHAnsi" w:cs="JCAGCO+TimesNewRoman"/>
          <w:color w:val="000000"/>
        </w:rPr>
        <w:t>especially to the poor</w:t>
      </w:r>
      <w:r w:rsidR="003F72BD" w:rsidRPr="00223856">
        <w:rPr>
          <w:rFonts w:asciiTheme="majorHAnsi" w:hAnsiTheme="majorHAnsi" w:cs="JCAGCO+TimesNewRoman"/>
          <w:color w:val="000000"/>
        </w:rPr>
        <w:t xml:space="preserve"> that benefit from the deterrence effect of these suits</w:t>
      </w:r>
      <w:r w:rsidR="006533AD" w:rsidRPr="00223856">
        <w:rPr>
          <w:rFonts w:asciiTheme="majorHAnsi" w:hAnsiTheme="majorHAnsi" w:cs="JCAGCO+TimesNewRoman"/>
          <w:color w:val="000000"/>
        </w:rPr>
        <w:t>.</w:t>
      </w:r>
      <w:r w:rsidR="00223856">
        <w:rPr>
          <w:rFonts w:asciiTheme="majorHAnsi" w:hAnsiTheme="majorHAnsi" w:cs="JCAGCO+TimesNewRoman"/>
          <w:color w:val="000000"/>
        </w:rPr>
        <w:t xml:space="preserve"> Indeed, many consumer protection statutes specifically envision class actions as an effective way of deterring patterns of violations, and the right to recover statutory damages makes the award of damages in class action easy to administer. Arbitration clauses would effectively shut down this avenue of enforcement in an area that might otherwise benefit from increased deterrence.</w:t>
      </w:r>
      <w:r w:rsidR="003F72BD" w:rsidRPr="00223856">
        <w:rPr>
          <w:rFonts w:asciiTheme="majorHAnsi" w:hAnsiTheme="majorHAnsi" w:cs="JCAGCO+TimesNewRoman"/>
          <w:color w:val="000000"/>
        </w:rPr>
        <w:t xml:space="preserve"> </w:t>
      </w:r>
    </w:p>
    <w:p w14:paraId="1BBDCC53" w14:textId="77777777" w:rsidR="00223856" w:rsidRDefault="00223856" w:rsidP="00D353C8">
      <w:pPr>
        <w:rPr>
          <w:rFonts w:asciiTheme="majorHAnsi" w:hAnsiTheme="majorHAnsi" w:cs="JCAGCO+TimesNewRoman"/>
          <w:color w:val="000000"/>
        </w:rPr>
      </w:pPr>
    </w:p>
    <w:p w14:paraId="5B545774" w14:textId="77777777" w:rsidR="00B36F5B" w:rsidRDefault="003F72BD" w:rsidP="005736AF">
      <w:pPr>
        <w:ind w:firstLine="720"/>
        <w:rPr>
          <w:rFonts w:asciiTheme="majorHAnsi" w:hAnsiTheme="majorHAnsi" w:cs="JCAGCO+TimesNewRoman"/>
          <w:color w:val="000000"/>
        </w:rPr>
      </w:pPr>
      <w:r w:rsidRPr="00223856">
        <w:rPr>
          <w:rFonts w:asciiTheme="majorHAnsi" w:hAnsiTheme="majorHAnsi" w:cs="JCAGCO+TimesNewRoman"/>
          <w:color w:val="000000"/>
        </w:rPr>
        <w:t>Still, it is questionable whether businesses that specialize in deliberate advantage</w:t>
      </w:r>
      <w:r w:rsidR="00223856">
        <w:rPr>
          <w:rFonts w:asciiTheme="majorHAnsi" w:hAnsiTheme="majorHAnsi" w:cs="JCAGCO+TimesNewRoman"/>
          <w:color w:val="000000"/>
        </w:rPr>
        <w:t xml:space="preserve"> </w:t>
      </w:r>
      <w:r w:rsidRPr="00223856">
        <w:rPr>
          <w:rFonts w:asciiTheme="majorHAnsi" w:hAnsiTheme="majorHAnsi" w:cs="JCAGCO+TimesNewRoman"/>
          <w:color w:val="000000"/>
        </w:rPr>
        <w:t xml:space="preserve">taking of ignorant </w:t>
      </w:r>
      <w:r w:rsidR="00223856">
        <w:rPr>
          <w:rFonts w:asciiTheme="majorHAnsi" w:hAnsiTheme="majorHAnsi" w:cs="JCAGCO+TimesNewRoman"/>
          <w:color w:val="000000"/>
        </w:rPr>
        <w:t xml:space="preserve">and </w:t>
      </w:r>
      <w:r w:rsidRPr="00223856">
        <w:rPr>
          <w:rFonts w:asciiTheme="majorHAnsi" w:hAnsiTheme="majorHAnsi" w:cs="JCAGCO+TimesNewRoman"/>
          <w:color w:val="000000"/>
        </w:rPr>
        <w:t>poor borrowers would be effectively deterred by the threat of “private attorney general” suits. In such cases, a coordinated regulatory solution might be superior, as an enforcement technique.</w:t>
      </w:r>
      <w:r w:rsidR="00223856">
        <w:rPr>
          <w:rFonts w:asciiTheme="majorHAnsi" w:hAnsiTheme="majorHAnsi" w:cs="JCAGCO+TimesNewRoman"/>
          <w:color w:val="000000"/>
        </w:rPr>
        <w:t xml:space="preserve"> The worst wrongdoers may not be the ones with the deepest pockets that attract private actions. And an effective enforcement campaign might require a coordinated </w:t>
      </w:r>
      <w:r w:rsidR="0083008D">
        <w:rPr>
          <w:rFonts w:asciiTheme="majorHAnsi" w:hAnsiTheme="majorHAnsi" w:cs="JCAGCO+TimesNewRoman"/>
          <w:color w:val="000000"/>
        </w:rPr>
        <w:t>action</w:t>
      </w:r>
      <w:r w:rsidR="00223856">
        <w:rPr>
          <w:rFonts w:asciiTheme="majorHAnsi" w:hAnsiTheme="majorHAnsi" w:cs="JCAGCO+TimesNewRoman"/>
          <w:color w:val="000000"/>
        </w:rPr>
        <w:t xml:space="preserve"> against a network of di</w:t>
      </w:r>
      <w:r w:rsidR="005736AF">
        <w:rPr>
          <w:rFonts w:asciiTheme="majorHAnsi" w:hAnsiTheme="majorHAnsi" w:cs="JCAGCO+TimesNewRoman"/>
          <w:color w:val="000000"/>
        </w:rPr>
        <w:t>sperse defendants, with forward-</w:t>
      </w:r>
      <w:r w:rsidR="00223856">
        <w:rPr>
          <w:rFonts w:asciiTheme="majorHAnsi" w:hAnsiTheme="majorHAnsi" w:cs="JCAGCO+TimesNewRoman"/>
          <w:color w:val="000000"/>
        </w:rPr>
        <w:t xml:space="preserve">looking </w:t>
      </w:r>
      <w:r w:rsidR="005736AF">
        <w:rPr>
          <w:rFonts w:asciiTheme="majorHAnsi" w:hAnsiTheme="majorHAnsi" w:cs="JCAGCO+TimesNewRoman"/>
          <w:color w:val="000000"/>
        </w:rPr>
        <w:t xml:space="preserve">as well as criminal </w:t>
      </w:r>
      <w:r w:rsidR="00223856">
        <w:rPr>
          <w:rFonts w:asciiTheme="majorHAnsi" w:hAnsiTheme="majorHAnsi" w:cs="JCAGCO+TimesNewRoman"/>
          <w:color w:val="000000"/>
        </w:rPr>
        <w:t xml:space="preserve">remedies, rather than anecdotal </w:t>
      </w:r>
      <w:r w:rsidR="0083008D">
        <w:rPr>
          <w:rFonts w:asciiTheme="majorHAnsi" w:hAnsiTheme="majorHAnsi" w:cs="JCAGCO+TimesNewRoman"/>
          <w:color w:val="000000"/>
        </w:rPr>
        <w:t>suits</w:t>
      </w:r>
      <w:r w:rsidR="00223856">
        <w:rPr>
          <w:rFonts w:asciiTheme="majorHAnsi" w:hAnsiTheme="majorHAnsi" w:cs="JCAGCO+TimesNewRoman"/>
          <w:color w:val="000000"/>
        </w:rPr>
        <w:t xml:space="preserve"> that compensate the lawyers more effectively than the victims.</w:t>
      </w:r>
    </w:p>
    <w:p w14:paraId="4DABEC09" w14:textId="77777777" w:rsidR="007826F6" w:rsidRDefault="007826F6" w:rsidP="005736AF">
      <w:pPr>
        <w:ind w:firstLine="720"/>
        <w:rPr>
          <w:rFonts w:asciiTheme="majorHAnsi" w:hAnsiTheme="majorHAnsi" w:cs="JCAGCO+TimesNewRoman"/>
          <w:color w:val="000000"/>
        </w:rPr>
      </w:pPr>
    </w:p>
    <w:p w14:paraId="578AE884" w14:textId="77777777" w:rsidR="00A74692" w:rsidRDefault="007826F6" w:rsidP="005736AF">
      <w:pPr>
        <w:ind w:firstLine="720"/>
        <w:rPr>
          <w:rFonts w:asciiTheme="majorHAnsi" w:hAnsiTheme="majorHAnsi" w:cs="JCAGCO+TimesNewRoman"/>
          <w:color w:val="000000"/>
        </w:rPr>
      </w:pPr>
      <w:r>
        <w:rPr>
          <w:rFonts w:asciiTheme="majorHAnsi" w:hAnsiTheme="majorHAnsi" w:cs="JCAGCO+TimesNewRoman"/>
          <w:color w:val="000000"/>
        </w:rPr>
        <w:t xml:space="preserve">It is also important to imagine different ways in which firms would be “deterred” by class actions. In general, increased liability could have several effects. First, </w:t>
      </w:r>
      <w:r w:rsidR="00A74692">
        <w:rPr>
          <w:rFonts w:asciiTheme="majorHAnsi" w:hAnsiTheme="majorHAnsi" w:cs="JCAGCO+TimesNewRoman"/>
          <w:color w:val="000000"/>
        </w:rPr>
        <w:t xml:space="preserve">it could lead firms to shut down an entire activity as unprofitable. </w:t>
      </w:r>
      <w:r w:rsidR="00CF298C">
        <w:rPr>
          <w:rFonts w:asciiTheme="majorHAnsi" w:hAnsiTheme="majorHAnsi" w:cs="JCAGCO+TimesNewRoman"/>
          <w:color w:val="000000"/>
        </w:rPr>
        <w:t xml:space="preserve">But an activity could be socially undesirable even though it benefits some. Usurious lending, for example, has </w:t>
      </w:r>
      <w:r w:rsidR="00CF298C">
        <w:rPr>
          <w:rFonts w:asciiTheme="majorHAnsi" w:hAnsiTheme="majorHAnsi" w:cs="JCAGCO+TimesNewRoman"/>
          <w:color w:val="000000"/>
        </w:rPr>
        <w:lastRenderedPageBreak/>
        <w:t>long been regarded by many societies as undesirable, but it surely benefits some high-risk, high-need borrowers. Or, a pharmaceutical drug may be both good and harmful, and shutting down its distribution may hur</w:t>
      </w:r>
      <w:r w:rsidR="00A17686">
        <w:rPr>
          <w:rFonts w:asciiTheme="majorHAnsi" w:hAnsiTheme="majorHAnsi" w:cs="JCAGCO+TimesNewRoman"/>
          <w:color w:val="000000"/>
        </w:rPr>
        <w:t>t some sub-sectors of patients.</w:t>
      </w:r>
    </w:p>
    <w:p w14:paraId="0706E23A" w14:textId="77777777" w:rsidR="00A74692" w:rsidRDefault="00A74692" w:rsidP="005736AF">
      <w:pPr>
        <w:ind w:firstLine="720"/>
        <w:rPr>
          <w:rFonts w:asciiTheme="majorHAnsi" w:hAnsiTheme="majorHAnsi" w:cs="JCAGCO+TimesNewRoman"/>
          <w:color w:val="000000"/>
        </w:rPr>
      </w:pPr>
    </w:p>
    <w:p w14:paraId="2E218F7B" w14:textId="77777777" w:rsidR="007826F6" w:rsidRDefault="00A74692" w:rsidP="005736AF">
      <w:pPr>
        <w:ind w:firstLine="720"/>
        <w:rPr>
          <w:rFonts w:asciiTheme="majorHAnsi" w:hAnsiTheme="majorHAnsi" w:cs="JCAGCO+TimesNewRoman"/>
          <w:color w:val="000000"/>
        </w:rPr>
      </w:pPr>
      <w:r>
        <w:rPr>
          <w:rFonts w:asciiTheme="majorHAnsi" w:hAnsiTheme="majorHAnsi" w:cs="JCAGCO+TimesNewRoman"/>
          <w:color w:val="000000"/>
        </w:rPr>
        <w:t>Second, increased liability</w:t>
      </w:r>
      <w:r w:rsidR="007826F6">
        <w:rPr>
          <w:rFonts w:asciiTheme="majorHAnsi" w:hAnsiTheme="majorHAnsi" w:cs="JCAGCO+TimesNewRoman"/>
          <w:color w:val="000000"/>
        </w:rPr>
        <w:t xml:space="preserve"> could lead firms to </w:t>
      </w:r>
      <w:r w:rsidR="00CF298C">
        <w:rPr>
          <w:rFonts w:asciiTheme="majorHAnsi" w:hAnsiTheme="majorHAnsi" w:cs="JCAGCO+TimesNewRoman"/>
          <w:color w:val="000000"/>
        </w:rPr>
        <w:t xml:space="preserve">continue the activity but </w:t>
      </w:r>
      <w:r w:rsidR="007826F6">
        <w:rPr>
          <w:rFonts w:asciiTheme="majorHAnsi" w:hAnsiTheme="majorHAnsi" w:cs="JCAGCO+TimesNewRoman"/>
          <w:color w:val="000000"/>
        </w:rPr>
        <w:t xml:space="preserve">make sure they comply with the legal standards. Manufacturers of products could take more </w:t>
      </w:r>
      <w:r w:rsidR="00A16EAC">
        <w:rPr>
          <w:rFonts w:asciiTheme="majorHAnsi" w:hAnsiTheme="majorHAnsi" w:cs="JCAGCO+TimesNewRoman"/>
          <w:color w:val="000000"/>
        </w:rPr>
        <w:t>precautions</w:t>
      </w:r>
      <w:r w:rsidR="00A17686">
        <w:rPr>
          <w:rFonts w:asciiTheme="majorHAnsi" w:hAnsiTheme="majorHAnsi" w:cs="JCAGCO+TimesNewRoman"/>
          <w:color w:val="000000"/>
        </w:rPr>
        <w:t xml:space="preserve"> to prevent injuries. The</w:t>
      </w:r>
      <w:r w:rsidR="00365FE6">
        <w:rPr>
          <w:rFonts w:asciiTheme="majorHAnsi" w:hAnsiTheme="majorHAnsi" w:cs="JCAGCO+TimesNewRoman"/>
          <w:color w:val="000000"/>
        </w:rPr>
        <w:t>y</w:t>
      </w:r>
      <w:r w:rsidR="00A17686">
        <w:rPr>
          <w:rFonts w:asciiTheme="majorHAnsi" w:hAnsiTheme="majorHAnsi" w:cs="JCAGCO+TimesNewRoman"/>
          <w:color w:val="000000"/>
        </w:rPr>
        <w:t xml:space="preserve"> may</w:t>
      </w:r>
      <w:r>
        <w:rPr>
          <w:rFonts w:asciiTheme="majorHAnsi" w:hAnsiTheme="majorHAnsi" w:cs="JCAGCO+TimesNewRoman"/>
          <w:color w:val="000000"/>
        </w:rPr>
        <w:t xml:space="preserve"> </w:t>
      </w:r>
      <w:r w:rsidR="00A17686">
        <w:rPr>
          <w:rFonts w:asciiTheme="majorHAnsi" w:hAnsiTheme="majorHAnsi" w:cs="JCAGCO+TimesNewRoman"/>
          <w:color w:val="000000"/>
        </w:rPr>
        <w:t>design safer products that, for example, pose a lower fire hazard, t</w:t>
      </w:r>
      <w:r w:rsidR="00365FE6">
        <w:rPr>
          <w:rFonts w:asciiTheme="majorHAnsi" w:hAnsiTheme="majorHAnsi" w:cs="JCAGCO+TimesNewRoman"/>
          <w:color w:val="000000"/>
        </w:rPr>
        <w:t xml:space="preserve">hus benefitting all customers. But many of the precautions that would be induced by the threat of class action liability would be the </w:t>
      </w:r>
      <w:r>
        <w:rPr>
          <w:rFonts w:asciiTheme="majorHAnsi" w:hAnsiTheme="majorHAnsi" w:cs="JCAGCO+TimesNewRoman"/>
          <w:color w:val="000000"/>
        </w:rPr>
        <w:t xml:space="preserve">drafting </w:t>
      </w:r>
      <w:r w:rsidR="00365FE6">
        <w:rPr>
          <w:rFonts w:asciiTheme="majorHAnsi" w:hAnsiTheme="majorHAnsi" w:cs="JCAGCO+TimesNewRoman"/>
          <w:color w:val="000000"/>
        </w:rPr>
        <w:t xml:space="preserve">of </w:t>
      </w:r>
      <w:r>
        <w:rPr>
          <w:rFonts w:asciiTheme="majorHAnsi" w:hAnsiTheme="majorHAnsi" w:cs="JCAGCO+TimesNewRoman"/>
          <w:color w:val="000000"/>
        </w:rPr>
        <w:t xml:space="preserve">longer warning labels on products, or complying more meticulously with disclosure standards (to remove claims of negligent failure to warn, or of deception). </w:t>
      </w:r>
      <w:r w:rsidR="00365FE6">
        <w:rPr>
          <w:rFonts w:asciiTheme="majorHAnsi" w:hAnsiTheme="majorHAnsi" w:cs="JCAGCO+TimesNewRoman"/>
          <w:color w:val="000000"/>
        </w:rPr>
        <w:t>W</w:t>
      </w:r>
      <w:r>
        <w:rPr>
          <w:rFonts w:asciiTheme="majorHAnsi" w:hAnsiTheme="majorHAnsi" w:cs="JCAGCO+TimesNewRoman"/>
          <w:color w:val="000000"/>
        </w:rPr>
        <w:t xml:space="preserve">ho benefits from these enhanced warnings and disclosures? These are precautions that do </w:t>
      </w:r>
      <w:r w:rsidR="00365FE6">
        <w:rPr>
          <w:rFonts w:asciiTheme="majorHAnsi" w:hAnsiTheme="majorHAnsi" w:cs="JCAGCO+TimesNewRoman"/>
          <w:color w:val="000000"/>
        </w:rPr>
        <w:t xml:space="preserve">not serve all consumers equally. Instead, they </w:t>
      </w:r>
      <w:r>
        <w:rPr>
          <w:rFonts w:asciiTheme="majorHAnsi" w:hAnsiTheme="majorHAnsi" w:cs="JCAGCO+TimesNewRoman"/>
          <w:color w:val="000000"/>
        </w:rPr>
        <w:t xml:space="preserve">interact with consumers’ own use patterns, and have greater utility to (the few) consumers who read warning and disclosures—to </w:t>
      </w:r>
      <w:r w:rsidR="00365FE6">
        <w:rPr>
          <w:rFonts w:asciiTheme="majorHAnsi" w:hAnsiTheme="majorHAnsi" w:cs="JCAGCO+TimesNewRoman"/>
          <w:color w:val="000000"/>
        </w:rPr>
        <w:t xml:space="preserve">the </w:t>
      </w:r>
      <w:r>
        <w:rPr>
          <w:rFonts w:asciiTheme="majorHAnsi" w:hAnsiTheme="majorHAnsi" w:cs="JCAGCO+TimesNewRoman"/>
          <w:color w:val="000000"/>
        </w:rPr>
        <w:t>sophisticated elite. These precautions provide access to information, but information—we sa</w:t>
      </w:r>
      <w:r w:rsidR="00365FE6">
        <w:rPr>
          <w:rFonts w:asciiTheme="majorHAnsi" w:hAnsiTheme="majorHAnsi" w:cs="JCAGCO+TimesNewRoman"/>
          <w:color w:val="000000"/>
        </w:rPr>
        <w:t>w—is often a regressive policy.</w:t>
      </w:r>
    </w:p>
    <w:p w14:paraId="588A354D" w14:textId="77777777" w:rsidR="00C23347" w:rsidRDefault="00C23347" w:rsidP="005736AF">
      <w:pPr>
        <w:ind w:firstLine="720"/>
        <w:rPr>
          <w:rFonts w:asciiTheme="majorHAnsi" w:hAnsiTheme="majorHAnsi" w:cs="JCAGCO+TimesNewRoman"/>
          <w:color w:val="000000"/>
        </w:rPr>
      </w:pPr>
    </w:p>
    <w:p w14:paraId="492BC016" w14:textId="77777777" w:rsidR="000F5A4D" w:rsidRDefault="00365FE6" w:rsidP="005736AF">
      <w:pPr>
        <w:ind w:firstLine="720"/>
        <w:rPr>
          <w:rFonts w:asciiTheme="majorHAnsi" w:hAnsiTheme="majorHAnsi" w:cs="JCAGCO+TimesNewRoman"/>
          <w:color w:val="000000"/>
        </w:rPr>
      </w:pPr>
      <w:r>
        <w:rPr>
          <w:rFonts w:asciiTheme="majorHAnsi" w:hAnsiTheme="majorHAnsi" w:cs="JCAGCO+TimesNewRoman"/>
          <w:color w:val="000000"/>
        </w:rPr>
        <w:t>Third</w:t>
      </w:r>
      <w:r w:rsidR="00C23347">
        <w:rPr>
          <w:rFonts w:asciiTheme="majorHAnsi" w:hAnsiTheme="majorHAnsi" w:cs="JCAGCO+TimesNewRoman"/>
          <w:color w:val="000000"/>
        </w:rPr>
        <w:t>, there is the price effect. Could it be that class actions improve pr</w:t>
      </w:r>
      <w:r w:rsidR="000F5A4D">
        <w:rPr>
          <w:rFonts w:asciiTheme="majorHAnsi" w:hAnsiTheme="majorHAnsi" w:cs="JCAGCO+TimesNewRoman"/>
          <w:color w:val="000000"/>
        </w:rPr>
        <w:t>oducts and behavior, but render</w:t>
      </w:r>
      <w:r w:rsidR="00C23347">
        <w:rPr>
          <w:rFonts w:asciiTheme="majorHAnsi" w:hAnsiTheme="majorHAnsi" w:cs="JCAGCO+TimesNewRoman"/>
          <w:color w:val="000000"/>
        </w:rPr>
        <w:t xml:space="preserve"> them too costly for the poor? One does not need to subscribe to rational-choice neo-classical economic approach to recognize that better products</w:t>
      </w:r>
      <w:r>
        <w:rPr>
          <w:rFonts w:asciiTheme="majorHAnsi" w:hAnsiTheme="majorHAnsi" w:cs="JCAGCO+TimesNewRoman"/>
          <w:color w:val="000000"/>
        </w:rPr>
        <w:t xml:space="preserve"> that</w:t>
      </w:r>
      <w:r w:rsidR="000F5A4D">
        <w:rPr>
          <w:rFonts w:asciiTheme="majorHAnsi" w:hAnsiTheme="majorHAnsi" w:cs="JCAGCO+TimesNewRoman"/>
          <w:color w:val="000000"/>
        </w:rPr>
        <w:t xml:space="preserve"> are mor</w:t>
      </w:r>
      <w:r>
        <w:rPr>
          <w:rFonts w:asciiTheme="majorHAnsi" w:hAnsiTheme="majorHAnsi" w:cs="JCAGCO+TimesNewRoman"/>
          <w:color w:val="000000"/>
        </w:rPr>
        <w:t>e closely scrutinized by courts</w:t>
      </w:r>
      <w:r w:rsidR="000F5A4D">
        <w:rPr>
          <w:rFonts w:asciiTheme="majorHAnsi" w:hAnsiTheme="majorHAnsi" w:cs="JCAGCO+TimesNewRoman"/>
          <w:color w:val="000000"/>
        </w:rPr>
        <w:t xml:space="preserve"> cost more</w:t>
      </w:r>
      <w:r w:rsidR="00C23347">
        <w:rPr>
          <w:rFonts w:asciiTheme="majorHAnsi" w:hAnsiTheme="majorHAnsi" w:cs="JCAGCO+TimesNewRoman"/>
          <w:color w:val="000000"/>
        </w:rPr>
        <w:t xml:space="preserve"> in competitive and non-competitive markets alike. </w:t>
      </w:r>
      <w:r>
        <w:rPr>
          <w:rFonts w:asciiTheme="majorHAnsi" w:hAnsiTheme="majorHAnsi" w:cs="JCAGCO+TimesNewRoman"/>
          <w:color w:val="000000"/>
        </w:rPr>
        <w:t>P</w:t>
      </w:r>
      <w:r w:rsidR="00C23347">
        <w:rPr>
          <w:rFonts w:asciiTheme="majorHAnsi" w:hAnsiTheme="majorHAnsi" w:cs="JCAGCO+TimesNewRoman"/>
          <w:color w:val="000000"/>
        </w:rPr>
        <w:t>eople make different price/quality tradeoffs, with some preferring low prices over high quality.</w:t>
      </w:r>
      <w:r w:rsidR="000F5A4D">
        <w:rPr>
          <w:rFonts w:asciiTheme="majorHAnsi" w:hAnsiTheme="majorHAnsi" w:cs="JCAGCO+TimesNewRoman"/>
          <w:color w:val="000000"/>
        </w:rPr>
        <w:t xml:space="preserve"> If class actions have the ex ante effect of higher prices, it is quite possible that the poor come out as net losers.</w:t>
      </w:r>
    </w:p>
    <w:p w14:paraId="2E74E229" w14:textId="77777777" w:rsidR="000F5A4D" w:rsidRDefault="000F5A4D" w:rsidP="005736AF">
      <w:pPr>
        <w:ind w:firstLine="720"/>
        <w:rPr>
          <w:rFonts w:asciiTheme="majorHAnsi" w:hAnsiTheme="majorHAnsi" w:cs="JCAGCO+TimesNewRoman"/>
          <w:color w:val="000000"/>
        </w:rPr>
      </w:pPr>
    </w:p>
    <w:p w14:paraId="55151463" w14:textId="77777777" w:rsidR="00C23347" w:rsidRDefault="000F5A4D" w:rsidP="005736AF">
      <w:pPr>
        <w:ind w:firstLine="720"/>
        <w:rPr>
          <w:rFonts w:asciiTheme="majorHAnsi" w:hAnsiTheme="majorHAnsi" w:cs="JCAGCO+TimesNewRoman"/>
          <w:color w:val="000000"/>
        </w:rPr>
      </w:pPr>
      <w:r>
        <w:rPr>
          <w:rFonts w:asciiTheme="majorHAnsi" w:hAnsiTheme="majorHAnsi" w:cs="JCAGCO+TimesNewRoman"/>
          <w:color w:val="000000"/>
        </w:rPr>
        <w:t>To be sure, even a sharp price effect is often desirable. For example, when the business is sued for deceptively hiding some service fees, the effect might be higher upfront prices</w:t>
      </w:r>
      <w:r w:rsidR="00365FE6">
        <w:rPr>
          <w:rFonts w:asciiTheme="majorHAnsi" w:hAnsiTheme="majorHAnsi" w:cs="JCAGCO+TimesNewRoman"/>
          <w:color w:val="000000"/>
        </w:rPr>
        <w:t>,</w:t>
      </w:r>
      <w:r>
        <w:rPr>
          <w:rFonts w:asciiTheme="majorHAnsi" w:hAnsiTheme="majorHAnsi" w:cs="JCAGCO+TimesNewRoman"/>
          <w:color w:val="000000"/>
        </w:rPr>
        <w:t xml:space="preserve"> but </w:t>
      </w:r>
      <w:r w:rsidR="00365FE6">
        <w:rPr>
          <w:rFonts w:asciiTheme="majorHAnsi" w:hAnsiTheme="majorHAnsi" w:cs="JCAGCO+TimesNewRoman"/>
          <w:color w:val="000000"/>
        </w:rPr>
        <w:t>here the higher prices are</w:t>
      </w:r>
      <w:r>
        <w:rPr>
          <w:rFonts w:asciiTheme="majorHAnsi" w:hAnsiTheme="majorHAnsi" w:cs="JCAGCO+TimesNewRoman"/>
          <w:color w:val="000000"/>
        </w:rPr>
        <w:t xml:space="preserve"> offset by a lower overall quantum of fees. The higher price is a more salient index for the true cost of the purchase. Higher prices might also be desirable when consumers underestimate the risks and losses that might be associated with some products, and fail to insure or to discount their value. And it is </w:t>
      </w:r>
      <w:r w:rsidR="00365FE6">
        <w:rPr>
          <w:rFonts w:asciiTheme="majorHAnsi" w:hAnsiTheme="majorHAnsi" w:cs="JCAGCO+TimesNewRoman"/>
          <w:color w:val="000000"/>
        </w:rPr>
        <w:t xml:space="preserve">more than </w:t>
      </w:r>
      <w:r>
        <w:rPr>
          <w:rFonts w:asciiTheme="majorHAnsi" w:hAnsiTheme="majorHAnsi" w:cs="JCAGCO+TimesNewRoman"/>
          <w:color w:val="000000"/>
        </w:rPr>
        <w:t>possible that these benefits associated with salient upfront prices would accrue disproportionately to the poor</w:t>
      </w:r>
      <w:r w:rsidR="00365FE6">
        <w:rPr>
          <w:rFonts w:asciiTheme="majorHAnsi" w:hAnsiTheme="majorHAnsi" w:cs="JCAGCO+TimesNewRoman"/>
          <w:color w:val="000000"/>
        </w:rPr>
        <w:t>, who might otherwise be seduced by the false allure of low prices</w:t>
      </w:r>
      <w:r>
        <w:rPr>
          <w:rFonts w:asciiTheme="majorHAnsi" w:hAnsiTheme="majorHAnsi" w:cs="JCAGCO+TimesNewRoman"/>
          <w:color w:val="000000"/>
        </w:rPr>
        <w:t>.</w:t>
      </w:r>
      <w:r w:rsidR="00365FE6" w:rsidRPr="00093969">
        <w:rPr>
          <w:rStyle w:val="FootnoteReference"/>
        </w:rPr>
        <w:footnoteReference w:id="62"/>
      </w:r>
      <w:r>
        <w:rPr>
          <w:rFonts w:asciiTheme="majorHAnsi" w:hAnsiTheme="majorHAnsi" w:cs="JCAGCO+TimesNewRoman"/>
          <w:color w:val="000000"/>
        </w:rPr>
        <w:t xml:space="preserve"> </w:t>
      </w:r>
    </w:p>
    <w:p w14:paraId="24BBFD79" w14:textId="77777777" w:rsidR="00223856" w:rsidRDefault="00223856" w:rsidP="00D353C8">
      <w:pPr>
        <w:rPr>
          <w:rFonts w:asciiTheme="majorHAnsi" w:hAnsiTheme="majorHAnsi" w:cs="JCAGCO+TimesNewRoman"/>
          <w:color w:val="000000"/>
        </w:rPr>
      </w:pPr>
    </w:p>
    <w:p w14:paraId="5AF7C6D3" w14:textId="77777777" w:rsidR="00223856" w:rsidRPr="00223856" w:rsidRDefault="00223856" w:rsidP="005736AF">
      <w:pPr>
        <w:ind w:firstLine="720"/>
        <w:rPr>
          <w:rFonts w:asciiTheme="majorHAnsi" w:hAnsiTheme="majorHAnsi"/>
        </w:rPr>
      </w:pPr>
      <w:r>
        <w:rPr>
          <w:rFonts w:asciiTheme="majorHAnsi" w:hAnsiTheme="majorHAnsi" w:cs="JCAGCO+TimesNewRoman"/>
          <w:color w:val="000000"/>
        </w:rPr>
        <w:t xml:space="preserve">In the end, the strongest objection to mandatory arbitration might very well rest on the deterrence rationale. It is possible that various types of socially harmful conduct </w:t>
      </w:r>
      <w:r w:rsidR="008847BD">
        <w:rPr>
          <w:rFonts w:asciiTheme="majorHAnsi" w:hAnsiTheme="majorHAnsi" w:cs="JCAGCO+TimesNewRoman"/>
          <w:color w:val="000000"/>
        </w:rPr>
        <w:t>are</w:t>
      </w:r>
      <w:r>
        <w:rPr>
          <w:rFonts w:asciiTheme="majorHAnsi" w:hAnsiTheme="majorHAnsi" w:cs="JCAGCO+TimesNewRoman"/>
          <w:color w:val="000000"/>
        </w:rPr>
        <w:t xml:space="preserve"> ins</w:t>
      </w:r>
      <w:r w:rsidR="008847BD">
        <w:rPr>
          <w:rFonts w:asciiTheme="majorHAnsi" w:hAnsiTheme="majorHAnsi" w:cs="JCAGCO+TimesNewRoman"/>
          <w:color w:val="000000"/>
        </w:rPr>
        <w:t>ufficiently deterred by public enforcers, and that private class actions could create better incentives,</w:t>
      </w:r>
      <w:r w:rsidR="000F5A4D">
        <w:rPr>
          <w:rFonts w:asciiTheme="majorHAnsi" w:hAnsiTheme="majorHAnsi" w:cs="JCAGCO+TimesNewRoman"/>
          <w:color w:val="000000"/>
        </w:rPr>
        <w:t xml:space="preserve"> eliminate harmful conduct, and result in more accurate prices—</w:t>
      </w:r>
      <w:r w:rsidR="008847BD">
        <w:rPr>
          <w:rFonts w:asciiTheme="majorHAnsi" w:hAnsiTheme="majorHAnsi" w:cs="JCAGCO+TimesNewRoman"/>
          <w:color w:val="000000"/>
        </w:rPr>
        <w:t xml:space="preserve">to the benefit of all. </w:t>
      </w:r>
      <w:r w:rsidR="00C1672F">
        <w:rPr>
          <w:rFonts w:asciiTheme="majorHAnsi" w:hAnsiTheme="majorHAnsi" w:cs="JCAGCO+TimesNewRoman"/>
          <w:color w:val="000000"/>
        </w:rPr>
        <w:t xml:space="preserve">But even this rationale for “access to litigation” is tentative and rests on questionable conjectures regarding the distributive benefits of heightened </w:t>
      </w:r>
      <w:r w:rsidR="00C1672F">
        <w:rPr>
          <w:rFonts w:asciiTheme="majorHAnsi" w:hAnsiTheme="majorHAnsi" w:cs="JCAGCO+TimesNewRoman"/>
          <w:color w:val="000000"/>
        </w:rPr>
        <w:lastRenderedPageBreak/>
        <w:t xml:space="preserve">liability. Class action liability may indeed change firms’ conduct in a way that benefits those who brought the suits, but in a way detrimental to others. </w:t>
      </w:r>
    </w:p>
    <w:p w14:paraId="6E936B82" w14:textId="77777777" w:rsidR="00811FA1" w:rsidRPr="00223856" w:rsidRDefault="00811FA1" w:rsidP="00D353C8">
      <w:pPr>
        <w:rPr>
          <w:rFonts w:asciiTheme="majorHAnsi" w:hAnsiTheme="majorHAnsi"/>
        </w:rPr>
      </w:pPr>
    </w:p>
    <w:p w14:paraId="289058C8" w14:textId="77777777" w:rsidR="00CF4870" w:rsidRPr="00223856" w:rsidRDefault="00CF4870" w:rsidP="00BC7B73">
      <w:pPr>
        <w:rPr>
          <w:rFonts w:asciiTheme="majorHAnsi" w:hAnsiTheme="majorHAnsi"/>
        </w:rPr>
      </w:pPr>
    </w:p>
    <w:sectPr w:rsidR="00CF4870" w:rsidRPr="00223856" w:rsidSect="0096334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8C45" w14:textId="77777777" w:rsidR="007A0CD5" w:rsidRDefault="007A0CD5" w:rsidP="00CA72C6">
      <w:r>
        <w:separator/>
      </w:r>
    </w:p>
  </w:endnote>
  <w:endnote w:type="continuationSeparator" w:id="0">
    <w:p w14:paraId="166B6E47" w14:textId="77777777" w:rsidR="007A0CD5" w:rsidRDefault="007A0CD5" w:rsidP="00CA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JCAGCO+TimesNewRoman">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1FB9" w14:textId="77777777" w:rsidR="00A17686" w:rsidRDefault="00A17686" w:rsidP="00650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0F24C" w14:textId="77777777" w:rsidR="00A17686" w:rsidRDefault="00A17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6913" w14:textId="77777777" w:rsidR="00A17686" w:rsidRDefault="00A17686" w:rsidP="00650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FCD">
      <w:rPr>
        <w:rStyle w:val="PageNumber"/>
        <w:noProof/>
      </w:rPr>
      <w:t>2</w:t>
    </w:r>
    <w:r>
      <w:rPr>
        <w:rStyle w:val="PageNumber"/>
      </w:rPr>
      <w:fldChar w:fldCharType="end"/>
    </w:r>
  </w:p>
  <w:p w14:paraId="6CE0E66D" w14:textId="77777777" w:rsidR="00A17686" w:rsidRDefault="00A176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AC28E" w14:textId="77777777" w:rsidR="007A0CD5" w:rsidRDefault="007A0CD5" w:rsidP="00CA72C6">
      <w:r>
        <w:separator/>
      </w:r>
    </w:p>
  </w:footnote>
  <w:footnote w:type="continuationSeparator" w:id="0">
    <w:p w14:paraId="3E06752E" w14:textId="77777777" w:rsidR="007A0CD5" w:rsidRDefault="007A0CD5" w:rsidP="00CA72C6">
      <w:r>
        <w:continuationSeparator/>
      </w:r>
    </w:p>
  </w:footnote>
  <w:footnote w:id="1">
    <w:p w14:paraId="5F2B09CB" w14:textId="77777777" w:rsidR="00A17686" w:rsidRPr="00206568" w:rsidRDefault="00A17686">
      <w:pPr>
        <w:pStyle w:val="FootnoteText"/>
        <w:rPr>
          <w:rFonts w:asciiTheme="majorHAnsi" w:hAnsiTheme="majorHAnsi"/>
          <w:sz w:val="22"/>
          <w:szCs w:val="22"/>
        </w:rPr>
      </w:pPr>
      <w:r w:rsidRPr="00206568">
        <w:rPr>
          <w:rStyle w:val="FootnoteReference"/>
          <w:sz w:val="22"/>
          <w:szCs w:val="22"/>
        </w:rPr>
        <w:t>*</w:t>
      </w:r>
      <w:r w:rsidRPr="00206568">
        <w:rPr>
          <w:rFonts w:asciiTheme="majorHAnsi" w:hAnsiTheme="majorHAnsi"/>
          <w:sz w:val="22"/>
          <w:szCs w:val="22"/>
        </w:rPr>
        <w:t xml:space="preserve"> Frank and Bernice J. Greenberg Professor of Law. I am grateful to Oren Bar-Gill and Gerhard Wagner for commenting on an earlier draft, and to </w:t>
      </w:r>
      <w:proofErr w:type="spellStart"/>
      <w:r w:rsidRPr="00206568">
        <w:rPr>
          <w:rFonts w:asciiTheme="majorHAnsi" w:hAnsiTheme="majorHAnsi"/>
          <w:sz w:val="22"/>
          <w:szCs w:val="22"/>
        </w:rPr>
        <w:t>Irit</w:t>
      </w:r>
      <w:proofErr w:type="spellEnd"/>
      <w:r w:rsidRPr="00206568">
        <w:rPr>
          <w:rFonts w:asciiTheme="majorHAnsi" w:hAnsiTheme="majorHAnsi"/>
          <w:sz w:val="22"/>
          <w:szCs w:val="22"/>
        </w:rPr>
        <w:t xml:space="preserve"> Brodsky for research assistance.</w:t>
      </w:r>
    </w:p>
  </w:footnote>
  <w:footnote w:id="2">
    <w:p w14:paraId="11239B13"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Patti </w:t>
      </w:r>
      <w:proofErr w:type="spellStart"/>
      <w:r w:rsidRPr="00206568">
        <w:rPr>
          <w:rFonts w:asciiTheme="majorHAnsi" w:hAnsiTheme="majorHAnsi"/>
          <w:sz w:val="22"/>
          <w:szCs w:val="22"/>
        </w:rPr>
        <w:t>Waldmeir</w:t>
      </w:r>
      <w:proofErr w:type="spellEnd"/>
      <w:r w:rsidRPr="00206568">
        <w:rPr>
          <w:rFonts w:asciiTheme="majorHAnsi" w:hAnsiTheme="majorHAnsi"/>
          <w:sz w:val="22"/>
          <w:szCs w:val="22"/>
        </w:rPr>
        <w:t xml:space="preserve">, </w:t>
      </w:r>
      <w:r w:rsidRPr="00206568">
        <w:rPr>
          <w:rFonts w:asciiTheme="majorHAnsi" w:hAnsiTheme="majorHAnsi"/>
          <w:i/>
          <w:sz w:val="22"/>
          <w:szCs w:val="22"/>
        </w:rPr>
        <w:t xml:space="preserve">How America is Privatizing Justice by the Back Door, </w:t>
      </w:r>
      <w:r w:rsidRPr="00206568">
        <w:rPr>
          <w:rFonts w:asciiTheme="majorHAnsi" w:hAnsiTheme="majorHAnsi"/>
          <w:sz w:val="22"/>
          <w:szCs w:val="22"/>
        </w:rPr>
        <w:t>Financial times, June 30 2003, at 12.</w:t>
      </w:r>
    </w:p>
  </w:footnote>
  <w:footnote w:id="3">
    <w:p w14:paraId="1E00D1B7"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e.g., Jean R. </w:t>
      </w:r>
      <w:proofErr w:type="spellStart"/>
      <w:r w:rsidRPr="00206568">
        <w:rPr>
          <w:rFonts w:asciiTheme="majorHAnsi" w:hAnsiTheme="majorHAnsi"/>
          <w:sz w:val="22"/>
          <w:szCs w:val="22"/>
        </w:rPr>
        <w:t>Sternlight</w:t>
      </w:r>
      <w:proofErr w:type="spellEnd"/>
      <w:r w:rsidRPr="00206568">
        <w:rPr>
          <w:rFonts w:asciiTheme="majorHAnsi" w:hAnsiTheme="majorHAnsi"/>
          <w:sz w:val="22"/>
          <w:szCs w:val="22"/>
        </w:rPr>
        <w:t xml:space="preserve">, </w:t>
      </w:r>
      <w:r w:rsidRPr="00206568">
        <w:rPr>
          <w:rFonts w:asciiTheme="majorHAnsi" w:hAnsiTheme="majorHAnsi"/>
          <w:i/>
          <w:sz w:val="22"/>
          <w:szCs w:val="22"/>
        </w:rPr>
        <w:t>Panacea or Corporate Tool?: Debunking the Supreme Court’s Preference for Binding Arbitration</w:t>
      </w:r>
      <w:r w:rsidRPr="00206568">
        <w:rPr>
          <w:rFonts w:asciiTheme="majorHAnsi" w:hAnsiTheme="majorHAnsi"/>
          <w:sz w:val="22"/>
          <w:szCs w:val="22"/>
        </w:rPr>
        <w:t>, 74 Wash. U. L.Q. 637, 642–43 (1996) (“it is critical to distinguish between commercial arbitration voluntarily agreed to by parties of approximately equal bargaining power, and commercial arbitration forced upon unknowing consumers, franchisees, employees or others through the use of form contracts.”).</w:t>
      </w:r>
    </w:p>
  </w:footnote>
  <w:footnote w:id="4">
    <w:p w14:paraId="207A1A98" w14:textId="77777777" w:rsidR="00A17686" w:rsidRPr="00206568" w:rsidRDefault="00A17686" w:rsidP="001C7390">
      <w:pPr>
        <w:pStyle w:val="FootnoteText"/>
        <w:spacing w:after="60"/>
        <w:rPr>
          <w:rFonts w:asciiTheme="majorHAnsi" w:hAnsiTheme="majorHAnsi"/>
          <w:b/>
          <w:sz w:val="22"/>
          <w:szCs w:val="22"/>
        </w:rPr>
      </w:pPr>
      <w:r w:rsidRPr="00206568">
        <w:rPr>
          <w:rStyle w:val="FootnoteReference"/>
          <w:sz w:val="22"/>
          <w:szCs w:val="22"/>
        </w:rPr>
        <w:footnoteRef/>
      </w:r>
      <w:r w:rsidRPr="00206568">
        <w:rPr>
          <w:rFonts w:asciiTheme="majorHAnsi" w:hAnsiTheme="majorHAnsi"/>
          <w:sz w:val="22"/>
          <w:szCs w:val="22"/>
        </w:rPr>
        <w:t xml:space="preserve"> Gerhard Wagner, </w:t>
      </w:r>
      <w:r w:rsidRPr="00206568">
        <w:rPr>
          <w:rFonts w:asciiTheme="majorHAnsi" w:hAnsiTheme="majorHAnsi"/>
          <w:i/>
          <w:sz w:val="22"/>
          <w:szCs w:val="22"/>
        </w:rPr>
        <w:t xml:space="preserve">Dispute Resolution as a Product: Competition between Civil Justice Systems </w:t>
      </w:r>
      <w:r w:rsidRPr="00206568">
        <w:rPr>
          <w:rFonts w:asciiTheme="majorHAnsi" w:hAnsiTheme="majorHAnsi"/>
          <w:sz w:val="22"/>
          <w:szCs w:val="22"/>
        </w:rPr>
        <w:t>(This Volume).</w:t>
      </w:r>
    </w:p>
  </w:footnote>
  <w:footnote w:id="5">
    <w:p w14:paraId="075B0D24"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Wagner, </w:t>
      </w:r>
      <w:r w:rsidRPr="00206568">
        <w:rPr>
          <w:rFonts w:asciiTheme="majorHAnsi" w:hAnsiTheme="majorHAnsi"/>
          <w:i/>
          <w:sz w:val="22"/>
          <w:szCs w:val="22"/>
        </w:rPr>
        <w:t>id</w:t>
      </w:r>
      <w:proofErr w:type="gramStart"/>
      <w:r w:rsidRPr="00206568">
        <w:rPr>
          <w:rFonts w:asciiTheme="majorHAnsi" w:hAnsiTheme="majorHAnsi"/>
          <w:i/>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at 53. See also C. </w:t>
      </w:r>
      <w:proofErr w:type="spellStart"/>
      <w:r w:rsidRPr="00206568">
        <w:rPr>
          <w:rFonts w:asciiTheme="majorHAnsi" w:hAnsiTheme="majorHAnsi"/>
          <w:sz w:val="22"/>
          <w:szCs w:val="22"/>
        </w:rPr>
        <w:t>Drahozal</w:t>
      </w:r>
      <w:proofErr w:type="spellEnd"/>
      <w:r w:rsidRPr="00206568">
        <w:rPr>
          <w:rFonts w:asciiTheme="majorHAnsi" w:hAnsiTheme="majorHAnsi"/>
          <w:sz w:val="22"/>
          <w:szCs w:val="22"/>
        </w:rPr>
        <w:t xml:space="preserve"> &amp; S. Ware, </w:t>
      </w:r>
      <w:r w:rsidRPr="00206568">
        <w:rPr>
          <w:rFonts w:asciiTheme="majorHAnsi" w:hAnsiTheme="majorHAnsi"/>
          <w:i/>
          <w:sz w:val="22"/>
          <w:szCs w:val="22"/>
        </w:rPr>
        <w:t>W</w:t>
      </w:r>
      <w:r w:rsidRPr="00206568">
        <w:rPr>
          <w:rStyle w:val="st"/>
          <w:rFonts w:asciiTheme="majorHAnsi" w:eastAsia="Times New Roman" w:hAnsiTheme="majorHAnsi" w:cs="Times New Roman"/>
          <w:i/>
          <w:sz w:val="22"/>
          <w:szCs w:val="22"/>
        </w:rPr>
        <w:t>hy Do Businesses Use (or Not Use) Arbitration Clauses?</w:t>
      </w:r>
      <w:r w:rsidRPr="00206568">
        <w:rPr>
          <w:rStyle w:val="st"/>
          <w:rFonts w:asciiTheme="majorHAnsi" w:eastAsia="Times New Roman" w:hAnsiTheme="majorHAnsi" w:cs="Times New Roman"/>
          <w:sz w:val="22"/>
          <w:szCs w:val="22"/>
        </w:rPr>
        <w:t xml:space="preserve"> </w:t>
      </w:r>
      <w:r w:rsidRPr="00206568">
        <w:rPr>
          <w:rStyle w:val="st"/>
          <w:rFonts w:asciiTheme="majorHAnsi" w:eastAsia="Times New Roman" w:hAnsiTheme="majorHAnsi" w:cs="Times New Roman"/>
          <w:i/>
          <w:sz w:val="22"/>
          <w:szCs w:val="22"/>
        </w:rPr>
        <w:t xml:space="preserve">25 </w:t>
      </w:r>
      <w:r w:rsidRPr="00206568">
        <w:rPr>
          <w:rStyle w:val="Emphasis"/>
          <w:rFonts w:asciiTheme="majorHAnsi" w:eastAsia="Times New Roman" w:hAnsiTheme="majorHAnsi" w:cs="Times New Roman"/>
          <w:i w:val="0"/>
          <w:sz w:val="22"/>
          <w:szCs w:val="22"/>
        </w:rPr>
        <w:t>Ohio State Journal on Dispute Resolution</w:t>
      </w:r>
      <w:r w:rsidRPr="00206568">
        <w:rPr>
          <w:rStyle w:val="st"/>
          <w:rFonts w:asciiTheme="majorHAnsi" w:eastAsia="Times New Roman" w:hAnsiTheme="majorHAnsi" w:cs="Times New Roman"/>
          <w:sz w:val="22"/>
          <w:szCs w:val="22"/>
        </w:rPr>
        <w:t xml:space="preserve"> 433, 444 (2010), who find</w:t>
      </w:r>
      <w:r w:rsidRPr="00206568">
        <w:rPr>
          <w:rFonts w:asciiTheme="majorHAnsi" w:hAnsiTheme="majorHAnsi"/>
          <w:sz w:val="22"/>
          <w:szCs w:val="22"/>
          <w:lang w:val="en-GB"/>
        </w:rPr>
        <w:t xml:space="preserve"> that “all of the arbitration clauses in consumer contracts (20 of 20, or 100%) contained a class arbitration waiver.”</w:t>
      </w:r>
    </w:p>
  </w:footnote>
  <w:footnote w:id="6">
    <w:p w14:paraId="4B13E256"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Wagner, </w:t>
      </w:r>
      <w:r w:rsidRPr="00206568">
        <w:rPr>
          <w:rFonts w:asciiTheme="majorHAnsi" w:hAnsiTheme="majorHAnsi"/>
          <w:i/>
          <w:sz w:val="22"/>
          <w:szCs w:val="22"/>
        </w:rPr>
        <w:t>id</w:t>
      </w:r>
      <w:proofErr w:type="gramStart"/>
      <w:r w:rsidRPr="00206568">
        <w:rPr>
          <w:rFonts w:asciiTheme="majorHAnsi" w:hAnsiTheme="majorHAnsi"/>
          <w:i/>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at 54.</w:t>
      </w:r>
    </w:p>
  </w:footnote>
  <w:footnote w:id="7">
    <w:p w14:paraId="54DEE94A"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sz w:val="22"/>
          <w:szCs w:val="22"/>
          <w:lang w:val="en-GB"/>
        </w:rPr>
        <w:t xml:space="preserve">Heather Bromfield, </w:t>
      </w:r>
      <w:r w:rsidRPr="00206568">
        <w:rPr>
          <w:rFonts w:asciiTheme="majorHAnsi" w:hAnsiTheme="majorHAnsi"/>
          <w:i/>
          <w:sz w:val="22"/>
          <w:szCs w:val="22"/>
          <w:lang w:val="en-GB"/>
        </w:rPr>
        <w:t>The Denial of Relief: The Enforcement of Class Action Waivers in Arbitration Agreements</w:t>
      </w:r>
      <w:r w:rsidRPr="00206568">
        <w:rPr>
          <w:rFonts w:asciiTheme="majorHAnsi" w:hAnsiTheme="majorHAnsi"/>
          <w:sz w:val="22"/>
          <w:szCs w:val="22"/>
          <w:lang w:val="en-GB"/>
        </w:rPr>
        <w:t xml:space="preserve">, 43 U.C. Davis L. Rev. 315, 341-346 (2009); Richard A. </w:t>
      </w:r>
      <w:proofErr w:type="spellStart"/>
      <w:r w:rsidRPr="00206568">
        <w:rPr>
          <w:rFonts w:asciiTheme="majorHAnsi" w:hAnsiTheme="majorHAnsi"/>
          <w:sz w:val="22"/>
          <w:szCs w:val="22"/>
          <w:lang w:val="en-GB"/>
        </w:rPr>
        <w:t>Nagareda</w:t>
      </w:r>
      <w:proofErr w:type="spellEnd"/>
      <w:r w:rsidRPr="00206568">
        <w:rPr>
          <w:rFonts w:asciiTheme="majorHAnsi" w:hAnsiTheme="majorHAnsi"/>
          <w:sz w:val="22"/>
          <w:szCs w:val="22"/>
          <w:lang w:val="en-GB"/>
        </w:rPr>
        <w:t xml:space="preserve">, </w:t>
      </w:r>
      <w:r w:rsidRPr="00206568">
        <w:rPr>
          <w:rFonts w:asciiTheme="majorHAnsi" w:hAnsiTheme="majorHAnsi"/>
          <w:i/>
          <w:sz w:val="22"/>
          <w:szCs w:val="22"/>
          <w:lang w:val="en-GB"/>
        </w:rPr>
        <w:t>Aggregation and Its Discontents: Class Settlement Pressure, Class-Wide Arbitration, and CAFA</w:t>
      </w:r>
      <w:r w:rsidRPr="00206568">
        <w:rPr>
          <w:rFonts w:asciiTheme="majorHAnsi" w:hAnsiTheme="majorHAnsi"/>
          <w:sz w:val="22"/>
          <w:szCs w:val="22"/>
          <w:lang w:val="en-GB"/>
        </w:rPr>
        <w:t xml:space="preserve">, 106 Colum. L. Rev. 1872, 1904-1909 (2006). </w:t>
      </w:r>
    </w:p>
  </w:footnote>
  <w:footnote w:id="8">
    <w:p w14:paraId="06A892E1"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bCs/>
          <w:sz w:val="22"/>
          <w:szCs w:val="22"/>
        </w:rPr>
        <w:t xml:space="preserve">Richard C. Reuben, </w:t>
      </w:r>
      <w:r w:rsidRPr="00206568">
        <w:rPr>
          <w:rFonts w:asciiTheme="majorHAnsi" w:hAnsiTheme="majorHAnsi"/>
          <w:bCs/>
          <w:i/>
          <w:iCs/>
          <w:sz w:val="22"/>
          <w:szCs w:val="22"/>
        </w:rPr>
        <w:t xml:space="preserve">First Options, Consent to Arbitration, and the Demise of </w:t>
      </w:r>
      <w:proofErr w:type="spellStart"/>
      <w:r w:rsidRPr="00206568">
        <w:rPr>
          <w:rFonts w:asciiTheme="majorHAnsi" w:hAnsiTheme="majorHAnsi"/>
          <w:bCs/>
          <w:i/>
          <w:iCs/>
          <w:sz w:val="22"/>
          <w:szCs w:val="22"/>
        </w:rPr>
        <w:t>SeparabilIty</w:t>
      </w:r>
      <w:proofErr w:type="spellEnd"/>
      <w:r w:rsidRPr="00206568">
        <w:rPr>
          <w:rFonts w:asciiTheme="majorHAnsi" w:hAnsiTheme="majorHAnsi"/>
          <w:bCs/>
          <w:i/>
          <w:iCs/>
          <w:sz w:val="22"/>
          <w:szCs w:val="22"/>
        </w:rPr>
        <w:t>: Restoring Access to Justice for Contracts with Arbitration Provisions</w:t>
      </w:r>
      <w:r w:rsidRPr="00206568">
        <w:rPr>
          <w:rFonts w:asciiTheme="majorHAnsi" w:hAnsiTheme="majorHAnsi"/>
          <w:bCs/>
          <w:sz w:val="22"/>
          <w:szCs w:val="22"/>
        </w:rPr>
        <w:t>,</w:t>
      </w:r>
      <w:r w:rsidRPr="00206568">
        <w:rPr>
          <w:rFonts w:asciiTheme="majorHAnsi" w:hAnsiTheme="majorHAnsi"/>
          <w:bCs/>
          <w:i/>
          <w:iCs/>
          <w:sz w:val="22"/>
          <w:szCs w:val="22"/>
        </w:rPr>
        <w:t xml:space="preserve"> </w:t>
      </w:r>
      <w:r w:rsidRPr="00206568">
        <w:rPr>
          <w:rFonts w:asciiTheme="majorHAnsi" w:hAnsiTheme="majorHAnsi"/>
          <w:bCs/>
          <w:sz w:val="22"/>
          <w:szCs w:val="22"/>
        </w:rPr>
        <w:t xml:space="preserve">56 </w:t>
      </w:r>
      <w:r w:rsidRPr="00206568">
        <w:rPr>
          <w:rFonts w:asciiTheme="majorHAnsi" w:hAnsiTheme="majorHAnsi"/>
          <w:smallCaps/>
          <w:sz w:val="22"/>
          <w:szCs w:val="22"/>
        </w:rPr>
        <w:t>S.M.U. L. Rev</w:t>
      </w:r>
      <w:r w:rsidRPr="00206568">
        <w:rPr>
          <w:rFonts w:asciiTheme="majorHAnsi" w:hAnsiTheme="majorHAnsi"/>
          <w:bCs/>
          <w:sz w:val="22"/>
          <w:szCs w:val="22"/>
        </w:rPr>
        <w:t xml:space="preserve">. 819, 822 (2003). </w:t>
      </w:r>
      <w:r w:rsidRPr="00206568">
        <w:rPr>
          <w:rFonts w:asciiTheme="majorHAnsi" w:hAnsiTheme="majorHAnsi"/>
          <w:bCs/>
          <w:i/>
          <w:sz w:val="22"/>
          <w:szCs w:val="22"/>
        </w:rPr>
        <w:t>See also</w:t>
      </w:r>
      <w:r w:rsidRPr="00206568">
        <w:rPr>
          <w:rFonts w:asciiTheme="majorHAnsi" w:hAnsiTheme="majorHAnsi"/>
          <w:bCs/>
          <w:sz w:val="22"/>
          <w:szCs w:val="22"/>
        </w:rPr>
        <w:t xml:space="preserve"> </w:t>
      </w:r>
    </w:p>
  </w:footnote>
  <w:footnote w:id="9">
    <w:p w14:paraId="0C1770CC"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bCs/>
          <w:sz w:val="22"/>
          <w:szCs w:val="22"/>
        </w:rPr>
        <w:t xml:space="preserve">Russell D. Feingold, </w:t>
      </w:r>
      <w:r w:rsidRPr="00206568">
        <w:rPr>
          <w:rFonts w:asciiTheme="majorHAnsi" w:hAnsiTheme="majorHAnsi"/>
          <w:bCs/>
          <w:i/>
          <w:iCs/>
          <w:sz w:val="22"/>
          <w:szCs w:val="22"/>
        </w:rPr>
        <w:t>Mandatory Arbitration: What Process is Due</w:t>
      </w:r>
      <w:proofErr w:type="gramStart"/>
      <w:r w:rsidRPr="00206568">
        <w:rPr>
          <w:rFonts w:asciiTheme="majorHAnsi" w:hAnsiTheme="majorHAnsi"/>
          <w:bCs/>
          <w:i/>
          <w:iCs/>
          <w:sz w:val="22"/>
          <w:szCs w:val="22"/>
        </w:rPr>
        <w:t>?</w:t>
      </w:r>
      <w:r w:rsidRPr="00206568">
        <w:rPr>
          <w:rFonts w:asciiTheme="majorHAnsi" w:hAnsiTheme="majorHAnsi"/>
          <w:bCs/>
          <w:sz w:val="22"/>
          <w:szCs w:val="22"/>
        </w:rPr>
        <w:t>,</w:t>
      </w:r>
      <w:proofErr w:type="gramEnd"/>
      <w:r w:rsidRPr="00206568">
        <w:rPr>
          <w:rFonts w:asciiTheme="majorHAnsi" w:hAnsiTheme="majorHAnsi"/>
          <w:bCs/>
          <w:sz w:val="22"/>
          <w:szCs w:val="22"/>
        </w:rPr>
        <w:t xml:space="preserve"> 39 </w:t>
      </w:r>
      <w:proofErr w:type="spellStart"/>
      <w:r w:rsidRPr="00206568">
        <w:rPr>
          <w:rFonts w:asciiTheme="majorHAnsi" w:hAnsiTheme="majorHAnsi"/>
          <w:smallCaps/>
          <w:sz w:val="22"/>
          <w:szCs w:val="22"/>
        </w:rPr>
        <w:t>Harv</w:t>
      </w:r>
      <w:proofErr w:type="spellEnd"/>
      <w:r w:rsidRPr="00206568">
        <w:rPr>
          <w:rFonts w:asciiTheme="majorHAnsi" w:hAnsiTheme="majorHAnsi"/>
          <w:smallCaps/>
          <w:sz w:val="22"/>
          <w:szCs w:val="22"/>
        </w:rPr>
        <w:t xml:space="preserve">. J. </w:t>
      </w:r>
      <w:proofErr w:type="gramStart"/>
      <w:r w:rsidRPr="00206568">
        <w:rPr>
          <w:rFonts w:asciiTheme="majorHAnsi" w:hAnsiTheme="majorHAnsi"/>
          <w:smallCaps/>
          <w:sz w:val="22"/>
          <w:szCs w:val="22"/>
        </w:rPr>
        <w:t>On  Legis</w:t>
      </w:r>
      <w:proofErr w:type="gramEnd"/>
      <w:r w:rsidRPr="00206568">
        <w:rPr>
          <w:rFonts w:asciiTheme="majorHAnsi" w:hAnsiTheme="majorHAnsi"/>
          <w:smallCaps/>
          <w:sz w:val="22"/>
          <w:szCs w:val="22"/>
        </w:rPr>
        <w:t>.</w:t>
      </w:r>
      <w:r w:rsidRPr="00206568">
        <w:rPr>
          <w:rFonts w:asciiTheme="majorHAnsi" w:hAnsiTheme="majorHAnsi"/>
          <w:bCs/>
          <w:sz w:val="22"/>
          <w:szCs w:val="22"/>
        </w:rPr>
        <w:t xml:space="preserve"> 281, 284 (2002); Lee Goldman, </w:t>
      </w:r>
      <w:r w:rsidRPr="00206568">
        <w:rPr>
          <w:rFonts w:asciiTheme="majorHAnsi" w:hAnsiTheme="majorHAnsi"/>
          <w:bCs/>
          <w:i/>
          <w:iCs/>
          <w:sz w:val="22"/>
          <w:szCs w:val="22"/>
        </w:rPr>
        <w:t>Contractually Expanded Review of Arbitration Awards</w:t>
      </w:r>
      <w:r w:rsidRPr="00206568">
        <w:rPr>
          <w:rFonts w:asciiTheme="majorHAnsi" w:hAnsiTheme="majorHAnsi"/>
          <w:bCs/>
          <w:sz w:val="22"/>
          <w:szCs w:val="22"/>
        </w:rPr>
        <w:t xml:space="preserve">, 8 </w:t>
      </w:r>
      <w:proofErr w:type="spellStart"/>
      <w:r w:rsidRPr="00206568">
        <w:rPr>
          <w:rFonts w:asciiTheme="majorHAnsi" w:hAnsiTheme="majorHAnsi"/>
          <w:bCs/>
          <w:smallCaps/>
          <w:sz w:val="22"/>
          <w:szCs w:val="22"/>
        </w:rPr>
        <w:t>Harv</w:t>
      </w:r>
      <w:proofErr w:type="spellEnd"/>
      <w:r w:rsidRPr="00206568">
        <w:rPr>
          <w:rFonts w:asciiTheme="majorHAnsi" w:hAnsiTheme="majorHAnsi"/>
          <w:bCs/>
          <w:smallCaps/>
          <w:sz w:val="22"/>
          <w:szCs w:val="22"/>
        </w:rPr>
        <w:t xml:space="preserve">. </w:t>
      </w:r>
      <w:proofErr w:type="spellStart"/>
      <w:r w:rsidRPr="00206568">
        <w:rPr>
          <w:rFonts w:asciiTheme="majorHAnsi" w:hAnsiTheme="majorHAnsi"/>
          <w:bCs/>
          <w:smallCaps/>
          <w:sz w:val="22"/>
          <w:szCs w:val="22"/>
        </w:rPr>
        <w:t>Negot</w:t>
      </w:r>
      <w:proofErr w:type="spellEnd"/>
      <w:r w:rsidRPr="00206568">
        <w:rPr>
          <w:rFonts w:asciiTheme="majorHAnsi" w:hAnsiTheme="majorHAnsi"/>
          <w:bCs/>
          <w:smallCaps/>
          <w:sz w:val="22"/>
          <w:szCs w:val="22"/>
        </w:rPr>
        <w:t>. L. Rev</w:t>
      </w:r>
      <w:r w:rsidRPr="00206568">
        <w:rPr>
          <w:rFonts w:asciiTheme="majorHAnsi" w:hAnsiTheme="majorHAnsi"/>
          <w:bCs/>
          <w:sz w:val="22"/>
          <w:szCs w:val="22"/>
        </w:rPr>
        <w:t>. 171, 193 (2003).</w:t>
      </w:r>
    </w:p>
  </w:footnote>
  <w:footnote w:id="10">
    <w:p w14:paraId="7A4EF848"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bCs/>
          <w:sz w:val="22"/>
          <w:szCs w:val="22"/>
        </w:rPr>
        <w:t xml:space="preserve">Mark E. </w:t>
      </w:r>
      <w:proofErr w:type="spellStart"/>
      <w:r w:rsidRPr="00206568">
        <w:rPr>
          <w:rFonts w:asciiTheme="majorHAnsi" w:hAnsiTheme="majorHAnsi"/>
          <w:bCs/>
          <w:sz w:val="22"/>
          <w:szCs w:val="22"/>
        </w:rPr>
        <w:t>Budnitz</w:t>
      </w:r>
      <w:proofErr w:type="spellEnd"/>
      <w:r w:rsidRPr="00206568">
        <w:rPr>
          <w:rFonts w:asciiTheme="majorHAnsi" w:hAnsiTheme="majorHAnsi"/>
          <w:sz w:val="22"/>
          <w:szCs w:val="22"/>
        </w:rPr>
        <w:t xml:space="preserve">, </w:t>
      </w:r>
      <w:hyperlink r:id="rId1" w:history="1">
        <w:r w:rsidRPr="00206568">
          <w:rPr>
            <w:rFonts w:asciiTheme="majorHAnsi" w:hAnsiTheme="majorHAnsi"/>
            <w:bCs/>
            <w:i/>
            <w:iCs/>
            <w:sz w:val="22"/>
            <w:szCs w:val="22"/>
          </w:rPr>
          <w:t>The High Cost of Mandatory Consumer Arbitration</w:t>
        </w:r>
      </w:hyperlink>
      <w:r w:rsidRPr="00206568">
        <w:rPr>
          <w:rFonts w:asciiTheme="majorHAnsi" w:hAnsiTheme="majorHAnsi"/>
          <w:bCs/>
          <w:sz w:val="22"/>
          <w:szCs w:val="22"/>
        </w:rPr>
        <w:t xml:space="preserve">, 67(1) L. &amp; </w:t>
      </w:r>
      <w:r w:rsidRPr="00206568">
        <w:rPr>
          <w:rFonts w:asciiTheme="majorHAnsi" w:hAnsiTheme="majorHAnsi"/>
          <w:bCs/>
          <w:smallCaps/>
          <w:sz w:val="22"/>
          <w:szCs w:val="22"/>
        </w:rPr>
        <w:t>Contemp. Probs.</w:t>
      </w:r>
      <w:r w:rsidRPr="00206568">
        <w:rPr>
          <w:rFonts w:asciiTheme="majorHAnsi" w:hAnsiTheme="majorHAnsi"/>
          <w:bCs/>
          <w:i/>
          <w:iCs/>
          <w:sz w:val="22"/>
          <w:szCs w:val="22"/>
        </w:rPr>
        <w:t xml:space="preserve"> </w:t>
      </w:r>
      <w:r w:rsidRPr="00206568">
        <w:rPr>
          <w:rFonts w:asciiTheme="majorHAnsi" w:hAnsiTheme="majorHAnsi"/>
          <w:bCs/>
          <w:sz w:val="22"/>
          <w:szCs w:val="22"/>
        </w:rPr>
        <w:t>133 (2004)</w:t>
      </w:r>
      <w:r w:rsidRPr="00206568">
        <w:rPr>
          <w:rFonts w:asciiTheme="majorHAnsi" w:hAnsiTheme="majorHAnsi"/>
          <w:sz w:val="22"/>
          <w:szCs w:val="22"/>
        </w:rPr>
        <w:t>.</w:t>
      </w:r>
    </w:p>
  </w:footnote>
  <w:footnote w:id="11">
    <w:p w14:paraId="4297C882" w14:textId="77777777" w:rsidR="00A17686" w:rsidRPr="00206568" w:rsidRDefault="00A17686" w:rsidP="00DD4BD3">
      <w:pPr>
        <w:pStyle w:val="FootnoteText"/>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Richard A. Epstein, </w:t>
      </w:r>
      <w:proofErr w:type="spellStart"/>
      <w:r w:rsidRPr="00206568">
        <w:rPr>
          <w:rFonts w:asciiTheme="majorHAnsi" w:hAnsiTheme="majorHAnsi"/>
          <w:i/>
          <w:sz w:val="22"/>
          <w:szCs w:val="22"/>
        </w:rPr>
        <w:t>Harmonisation</w:t>
      </w:r>
      <w:proofErr w:type="spellEnd"/>
      <w:r w:rsidRPr="00206568">
        <w:rPr>
          <w:rFonts w:asciiTheme="majorHAnsi" w:hAnsiTheme="majorHAnsi"/>
          <w:i/>
          <w:sz w:val="22"/>
          <w:szCs w:val="22"/>
        </w:rPr>
        <w:t xml:space="preserve">, Heterogeneity and Regulation: CESL, The Lost Opportunity for Constructive </w:t>
      </w:r>
      <w:proofErr w:type="spellStart"/>
      <w:r w:rsidRPr="00206568">
        <w:rPr>
          <w:rFonts w:asciiTheme="majorHAnsi" w:hAnsiTheme="majorHAnsi"/>
          <w:i/>
          <w:sz w:val="22"/>
          <w:szCs w:val="22"/>
        </w:rPr>
        <w:t>Harmonisation</w:t>
      </w:r>
      <w:proofErr w:type="spellEnd"/>
      <w:r w:rsidRPr="00206568">
        <w:rPr>
          <w:rFonts w:asciiTheme="majorHAnsi" w:hAnsiTheme="majorHAnsi"/>
          <w:sz w:val="22"/>
          <w:szCs w:val="22"/>
        </w:rPr>
        <w:t>, Common Market Law Review (forthcoming, 2013).</w:t>
      </w:r>
    </w:p>
    <w:p w14:paraId="53F401DC" w14:textId="77777777" w:rsidR="00A17686" w:rsidRPr="00206568" w:rsidRDefault="00A17686">
      <w:pPr>
        <w:pStyle w:val="FootnoteText"/>
        <w:rPr>
          <w:rFonts w:asciiTheme="majorHAnsi" w:hAnsiTheme="majorHAnsi"/>
          <w:sz w:val="22"/>
          <w:szCs w:val="22"/>
        </w:rPr>
      </w:pPr>
    </w:p>
  </w:footnote>
  <w:footnote w:id="12">
    <w:p w14:paraId="52F83E92"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George J. Stigler, </w:t>
      </w:r>
      <w:bookmarkStart w:id="0" w:name="_GoBack"/>
      <w:r w:rsidRPr="00E22FCD">
        <w:rPr>
          <w:rFonts w:asciiTheme="majorHAnsi" w:hAnsiTheme="majorHAnsi"/>
          <w:i/>
          <w:sz w:val="22"/>
          <w:szCs w:val="22"/>
        </w:rPr>
        <w:t>Director’s Law of Public Income Redistribution</w:t>
      </w:r>
      <w:bookmarkEnd w:id="0"/>
      <w:r w:rsidRPr="00206568">
        <w:rPr>
          <w:rFonts w:asciiTheme="majorHAnsi" w:hAnsiTheme="majorHAnsi"/>
          <w:sz w:val="22"/>
          <w:szCs w:val="22"/>
        </w:rPr>
        <w:t xml:space="preserve">, 13 </w:t>
      </w:r>
      <w:proofErr w:type="gramStart"/>
      <w:r w:rsidRPr="00206568">
        <w:rPr>
          <w:rFonts w:asciiTheme="majorHAnsi" w:hAnsiTheme="majorHAnsi"/>
          <w:sz w:val="22"/>
          <w:szCs w:val="22"/>
        </w:rPr>
        <w:t>Journal</w:t>
      </w:r>
      <w:proofErr w:type="gramEnd"/>
      <w:r w:rsidRPr="00206568">
        <w:rPr>
          <w:rFonts w:asciiTheme="majorHAnsi" w:hAnsiTheme="majorHAnsi"/>
          <w:sz w:val="22"/>
          <w:szCs w:val="22"/>
        </w:rPr>
        <w:t xml:space="preserve"> of Law and Economics 1 (1970).</w:t>
      </w:r>
    </w:p>
  </w:footnote>
  <w:footnote w:id="13">
    <w:p w14:paraId="1885453A" w14:textId="77777777" w:rsidR="00A17686" w:rsidRPr="00206568" w:rsidRDefault="00A17686" w:rsidP="001C7390">
      <w:pPr>
        <w:pStyle w:val="FootnoteText"/>
        <w:spacing w:after="60"/>
        <w:rPr>
          <w:rFonts w:asciiTheme="majorHAnsi" w:hAnsiTheme="majorHAnsi" w:cs="Times New Roman"/>
          <w:iCs/>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See, for example</w:t>
      </w:r>
      <w:r w:rsidRPr="00206568">
        <w:rPr>
          <w:rFonts w:asciiTheme="majorHAnsi" w:hAnsiTheme="majorHAnsi" w:cs="Times New Roman"/>
          <w:iCs/>
          <w:sz w:val="22"/>
          <w:szCs w:val="22"/>
        </w:rPr>
        <w:t xml:space="preserve">, </w:t>
      </w:r>
      <w:proofErr w:type="spellStart"/>
      <w:r w:rsidRPr="00206568">
        <w:rPr>
          <w:rFonts w:asciiTheme="majorHAnsi" w:hAnsiTheme="majorHAnsi" w:cs="Times New Roman"/>
          <w:iCs/>
          <w:sz w:val="22"/>
          <w:szCs w:val="22"/>
        </w:rPr>
        <w:t>Inge</w:t>
      </w:r>
      <w:proofErr w:type="spellEnd"/>
      <w:r w:rsidRPr="00206568">
        <w:rPr>
          <w:rFonts w:asciiTheme="majorHAnsi" w:hAnsiTheme="majorHAnsi" w:cs="Times New Roman"/>
          <w:iCs/>
          <w:sz w:val="22"/>
          <w:szCs w:val="22"/>
        </w:rPr>
        <w:t xml:space="preserve"> </w:t>
      </w:r>
      <w:proofErr w:type="spellStart"/>
      <w:r w:rsidRPr="00206568">
        <w:rPr>
          <w:rFonts w:asciiTheme="majorHAnsi" w:hAnsiTheme="majorHAnsi" w:cs="Times New Roman"/>
          <w:iCs/>
          <w:sz w:val="22"/>
          <w:szCs w:val="22"/>
        </w:rPr>
        <w:t>Kaul</w:t>
      </w:r>
      <w:proofErr w:type="spellEnd"/>
      <w:r w:rsidRPr="00206568">
        <w:rPr>
          <w:rFonts w:asciiTheme="majorHAnsi" w:hAnsiTheme="majorHAnsi" w:cs="Times New Roman"/>
          <w:iCs/>
          <w:sz w:val="22"/>
          <w:szCs w:val="22"/>
        </w:rPr>
        <w:t xml:space="preserve">, et al, </w:t>
      </w:r>
      <w:proofErr w:type="spellStart"/>
      <w:proofErr w:type="gramStart"/>
      <w:r w:rsidRPr="00206568">
        <w:rPr>
          <w:rFonts w:asciiTheme="majorHAnsi" w:hAnsiTheme="majorHAnsi" w:cs="Times New Roman"/>
          <w:sz w:val="22"/>
          <w:szCs w:val="22"/>
        </w:rPr>
        <w:t>eds</w:t>
      </w:r>
      <w:proofErr w:type="spellEnd"/>
      <w:proofErr w:type="gram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Global Public Goods: International Cooperation in the 21st Century</w:t>
      </w:r>
      <w:r w:rsidRPr="00206568">
        <w:rPr>
          <w:rFonts w:asciiTheme="majorHAnsi" w:hAnsiTheme="majorHAnsi" w:cs="Times New Roman"/>
          <w:sz w:val="22"/>
          <w:szCs w:val="22"/>
        </w:rPr>
        <w:t xml:space="preserve"> xxix-xxxii </w:t>
      </w:r>
      <w:r w:rsidRPr="00206568">
        <w:rPr>
          <w:rFonts w:asciiTheme="majorHAnsi" w:hAnsiTheme="majorHAnsi" w:cs="Times New Roman"/>
          <w:iCs/>
          <w:sz w:val="22"/>
          <w:szCs w:val="22"/>
        </w:rPr>
        <w:t xml:space="preserve">(Oxford 1999). See also </w:t>
      </w:r>
      <w:proofErr w:type="spellStart"/>
      <w:r w:rsidRPr="00206568">
        <w:rPr>
          <w:rFonts w:asciiTheme="majorHAnsi" w:hAnsiTheme="majorHAnsi" w:cs="Times New Roman"/>
          <w:iCs/>
          <w:sz w:val="22"/>
          <w:szCs w:val="22"/>
        </w:rPr>
        <w:t>Nicolás</w:t>
      </w:r>
      <w:proofErr w:type="spellEnd"/>
      <w:r w:rsidRPr="00206568">
        <w:rPr>
          <w:rFonts w:asciiTheme="majorHAnsi" w:hAnsiTheme="majorHAnsi" w:cs="Times New Roman"/>
          <w:iCs/>
          <w:sz w:val="22"/>
          <w:szCs w:val="22"/>
        </w:rPr>
        <w:t xml:space="preserve"> </w:t>
      </w:r>
      <w:proofErr w:type="spellStart"/>
      <w:r w:rsidRPr="00206568">
        <w:rPr>
          <w:rFonts w:asciiTheme="majorHAnsi" w:hAnsiTheme="majorHAnsi" w:cs="Times New Roman"/>
          <w:iCs/>
          <w:sz w:val="22"/>
          <w:szCs w:val="22"/>
        </w:rPr>
        <w:t>Estupinán</w:t>
      </w:r>
      <w:proofErr w:type="spellEnd"/>
      <w:r w:rsidRPr="00206568">
        <w:rPr>
          <w:rFonts w:asciiTheme="majorHAnsi" w:hAnsiTheme="majorHAnsi" w:cs="Times New Roman"/>
          <w:iCs/>
          <w:sz w:val="22"/>
          <w:szCs w:val="22"/>
        </w:rPr>
        <w:t xml:space="preserve"> et al., </w:t>
      </w:r>
      <w:r w:rsidRPr="00206568">
        <w:rPr>
          <w:rFonts w:asciiTheme="majorHAnsi" w:hAnsiTheme="majorHAnsi" w:cs="Times New Roman"/>
          <w:i/>
          <w:iCs/>
          <w:sz w:val="22"/>
          <w:szCs w:val="22"/>
        </w:rPr>
        <w:t>Affordability and Subsidies in Public Urban Transport: What Do We Mean, What Can Be Done?</w:t>
      </w:r>
      <w:r w:rsidRPr="00206568">
        <w:rPr>
          <w:rFonts w:asciiTheme="majorHAnsi" w:hAnsiTheme="majorHAnsi" w:cs="Times New Roman"/>
          <w:iCs/>
          <w:sz w:val="22"/>
          <w:szCs w:val="22"/>
        </w:rPr>
        <w:t xml:space="preserve"> </w:t>
      </w:r>
      <w:proofErr w:type="gramStart"/>
      <w:r w:rsidRPr="00206568">
        <w:rPr>
          <w:rFonts w:asciiTheme="majorHAnsi" w:hAnsiTheme="majorHAnsi" w:cs="Times New Roman"/>
          <w:iCs/>
          <w:sz w:val="22"/>
          <w:szCs w:val="22"/>
        </w:rPr>
        <w:t>28 (World Bank 2007).</w:t>
      </w:r>
      <w:proofErr w:type="gramEnd"/>
    </w:p>
  </w:footnote>
  <w:footnote w:id="14">
    <w:p w14:paraId="4BBD81E9" w14:textId="77777777" w:rsidR="00A17686" w:rsidRPr="00206568" w:rsidRDefault="00A17686" w:rsidP="001C7390">
      <w:pPr>
        <w:pStyle w:val="FootnoteText"/>
        <w:spacing w:after="60"/>
        <w:rPr>
          <w:rFonts w:asciiTheme="majorHAnsi" w:hAnsiTheme="majorHAnsi" w:cs="Times New Roman"/>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See, for example, </w:t>
      </w:r>
      <w:proofErr w:type="spellStart"/>
      <w:r w:rsidRPr="00206568">
        <w:rPr>
          <w:rFonts w:asciiTheme="majorHAnsi" w:hAnsiTheme="majorHAnsi" w:cs="Times New Roman"/>
          <w:sz w:val="22"/>
          <w:szCs w:val="22"/>
        </w:rPr>
        <w:t>Udo</w:t>
      </w:r>
      <w:proofErr w:type="spellEnd"/>
      <w:r w:rsidRPr="00206568">
        <w:rPr>
          <w:rFonts w:asciiTheme="majorHAnsi" w:hAnsiTheme="majorHAnsi" w:cs="Times New Roman"/>
          <w:sz w:val="22"/>
          <w:szCs w:val="22"/>
        </w:rPr>
        <w:t xml:space="preserve"> Ebert and Georg </w:t>
      </w:r>
      <w:proofErr w:type="spellStart"/>
      <w:r w:rsidRPr="00206568">
        <w:rPr>
          <w:rFonts w:asciiTheme="majorHAnsi" w:hAnsiTheme="majorHAnsi" w:cs="Times New Roman"/>
          <w:sz w:val="22"/>
          <w:szCs w:val="22"/>
        </w:rPr>
        <w:t>Tillmann</w:t>
      </w:r>
      <w:proofErr w:type="spell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Distribution-Neutral Provision of Public Goods</w:t>
      </w:r>
      <w:r w:rsidR="00770821">
        <w:rPr>
          <w:rFonts w:asciiTheme="majorHAnsi" w:hAnsiTheme="majorHAnsi" w:cs="Times New Roman"/>
          <w:sz w:val="22"/>
          <w:szCs w:val="22"/>
        </w:rPr>
        <w:t xml:space="preserve">, 29 Social </w:t>
      </w:r>
      <w:r w:rsidRPr="00206568">
        <w:rPr>
          <w:rFonts w:asciiTheme="majorHAnsi" w:hAnsiTheme="majorHAnsi" w:cs="Times New Roman"/>
          <w:sz w:val="22"/>
          <w:szCs w:val="22"/>
        </w:rPr>
        <w:t xml:space="preserve">Choice </w:t>
      </w:r>
      <w:r w:rsidR="00770821">
        <w:rPr>
          <w:rFonts w:asciiTheme="majorHAnsi" w:hAnsiTheme="majorHAnsi" w:cs="Times New Roman"/>
          <w:sz w:val="22"/>
          <w:szCs w:val="22"/>
        </w:rPr>
        <w:t xml:space="preserve">&amp; </w:t>
      </w:r>
      <w:r w:rsidRPr="00206568">
        <w:rPr>
          <w:rFonts w:asciiTheme="majorHAnsi" w:hAnsiTheme="majorHAnsi" w:cs="Times New Roman"/>
          <w:sz w:val="22"/>
          <w:szCs w:val="22"/>
        </w:rPr>
        <w:t xml:space="preserve">Welfare 107 (2007). See also </w:t>
      </w:r>
      <w:proofErr w:type="spellStart"/>
      <w:r w:rsidRPr="00206568">
        <w:rPr>
          <w:rFonts w:asciiTheme="majorHAnsi" w:hAnsiTheme="majorHAnsi" w:cs="Times New Roman"/>
          <w:iCs/>
          <w:sz w:val="22"/>
          <w:szCs w:val="22"/>
        </w:rPr>
        <w:t>Estupianan</w:t>
      </w:r>
      <w:proofErr w:type="spellEnd"/>
      <w:r w:rsidRPr="00206568">
        <w:rPr>
          <w:rFonts w:asciiTheme="majorHAnsi" w:hAnsiTheme="majorHAnsi" w:cs="Times New Roman"/>
          <w:iCs/>
          <w:sz w:val="22"/>
          <w:szCs w:val="22"/>
        </w:rPr>
        <w:t xml:space="preserve"> et al, id., at 22.</w:t>
      </w:r>
    </w:p>
  </w:footnote>
  <w:footnote w:id="15">
    <w:p w14:paraId="402D9831" w14:textId="77777777" w:rsidR="00A17686" w:rsidRPr="00206568" w:rsidRDefault="00A17686" w:rsidP="001C7390">
      <w:pPr>
        <w:autoSpaceDE w:val="0"/>
        <w:autoSpaceDN w:val="0"/>
        <w:adjustRightInd w:val="0"/>
        <w:spacing w:after="60"/>
        <w:rPr>
          <w:rFonts w:asciiTheme="majorHAnsi" w:hAnsiTheme="majorHAnsi" w:cs="Times New Roman"/>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For example, 73% of Metro passengers in Washington DC have annual household incomes of $75,000 or more. See S. Ginsberg, S. and L. Stanton, </w:t>
      </w:r>
      <w:r w:rsidRPr="00206568">
        <w:rPr>
          <w:rFonts w:asciiTheme="majorHAnsi" w:hAnsiTheme="majorHAnsi" w:cs="Times New Roman"/>
          <w:i/>
          <w:sz w:val="22"/>
          <w:szCs w:val="22"/>
        </w:rPr>
        <w:t>Would Anyone Win if Metro Raised Fares</w:t>
      </w:r>
      <w:proofErr w:type="gramStart"/>
      <w:r w:rsidRPr="00206568">
        <w:rPr>
          <w:rFonts w:asciiTheme="majorHAnsi" w:hAnsiTheme="majorHAnsi" w:cs="Times New Roman"/>
          <w:sz w:val="22"/>
          <w:szCs w:val="22"/>
        </w:rPr>
        <w:t>?,</w:t>
      </w:r>
      <w:proofErr w:type="gramEnd"/>
      <w:r w:rsidRPr="00206568">
        <w:rPr>
          <w:rFonts w:asciiTheme="majorHAnsi" w:hAnsiTheme="majorHAnsi" w:cs="Times New Roman"/>
          <w:sz w:val="22"/>
          <w:szCs w:val="22"/>
        </w:rPr>
        <w:t xml:space="preserve"> </w:t>
      </w:r>
      <w:r w:rsidRPr="00206568">
        <w:rPr>
          <w:rFonts w:asciiTheme="majorHAnsi" w:hAnsiTheme="majorHAnsi" w:cs="Times New Roman"/>
          <w:iCs/>
          <w:sz w:val="22"/>
          <w:szCs w:val="22"/>
        </w:rPr>
        <w:t>Washington Post (</w:t>
      </w:r>
      <w:r w:rsidRPr="00206568">
        <w:rPr>
          <w:rFonts w:asciiTheme="majorHAnsi" w:hAnsiTheme="majorHAnsi" w:cs="Times New Roman"/>
          <w:sz w:val="22"/>
          <w:szCs w:val="22"/>
        </w:rPr>
        <w:t>September 16, 2007). On the other hand, only 34% of bus passengers have similar incomes.</w:t>
      </w:r>
    </w:p>
  </w:footnote>
  <w:footnote w:id="16">
    <w:p w14:paraId="303473C2" w14:textId="77777777" w:rsidR="00A17686" w:rsidRPr="00206568" w:rsidRDefault="00A17686" w:rsidP="001C7390">
      <w:pPr>
        <w:pStyle w:val="FootnoteText"/>
        <w:spacing w:after="60"/>
        <w:rPr>
          <w:rFonts w:asciiTheme="majorHAnsi" w:hAnsiTheme="majorHAnsi" w:cs="Times New Roman"/>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w:t>
      </w:r>
      <w:proofErr w:type="spellStart"/>
      <w:proofErr w:type="gramStart"/>
      <w:r w:rsidRPr="00206568">
        <w:rPr>
          <w:rFonts w:asciiTheme="majorHAnsi" w:hAnsiTheme="majorHAnsi" w:cs="Times New Roman"/>
          <w:iCs/>
          <w:sz w:val="22"/>
          <w:szCs w:val="22"/>
        </w:rPr>
        <w:t>Estupinán</w:t>
      </w:r>
      <w:proofErr w:type="spellEnd"/>
      <w:r w:rsidRPr="00206568">
        <w:rPr>
          <w:rFonts w:asciiTheme="majorHAnsi" w:hAnsiTheme="majorHAnsi" w:cs="Times New Roman"/>
          <w:iCs/>
          <w:sz w:val="22"/>
          <w:szCs w:val="22"/>
        </w:rPr>
        <w:t xml:space="preserve"> et al., </w:t>
      </w:r>
      <w:r w:rsidRPr="00206568">
        <w:rPr>
          <w:rFonts w:asciiTheme="majorHAnsi" w:hAnsiTheme="majorHAnsi" w:cs="Times New Roman"/>
          <w:sz w:val="22"/>
          <w:szCs w:val="22"/>
        </w:rPr>
        <w:t>at 21.</w:t>
      </w:r>
      <w:proofErr w:type="gramEnd"/>
      <w:r w:rsidRPr="00206568">
        <w:rPr>
          <w:rFonts w:asciiTheme="majorHAnsi" w:hAnsiTheme="majorHAnsi" w:cs="Times New Roman"/>
          <w:sz w:val="22"/>
          <w:szCs w:val="22"/>
        </w:rPr>
        <w:t xml:space="preserve"> But see Stefan </w:t>
      </w:r>
      <w:proofErr w:type="spellStart"/>
      <w:r w:rsidRPr="00206568">
        <w:rPr>
          <w:rFonts w:asciiTheme="majorHAnsi" w:hAnsiTheme="majorHAnsi" w:cs="Times New Roman"/>
          <w:sz w:val="22"/>
          <w:szCs w:val="22"/>
        </w:rPr>
        <w:t>Tscharaktshiew</w:t>
      </w:r>
      <w:proofErr w:type="spellEnd"/>
      <w:r w:rsidRPr="00206568">
        <w:rPr>
          <w:rFonts w:asciiTheme="majorHAnsi" w:hAnsiTheme="majorHAnsi" w:cs="Times New Roman"/>
          <w:sz w:val="22"/>
          <w:szCs w:val="22"/>
        </w:rPr>
        <w:t xml:space="preserve"> and </w:t>
      </w:r>
      <w:proofErr w:type="spellStart"/>
      <w:r w:rsidRPr="00206568">
        <w:rPr>
          <w:rFonts w:asciiTheme="majorHAnsi" w:hAnsiTheme="majorHAnsi" w:cs="Times New Roman"/>
          <w:sz w:val="22"/>
          <w:szCs w:val="22"/>
        </w:rPr>
        <w:t>Geor</w:t>
      </w:r>
      <w:proofErr w:type="spellEnd"/>
      <w:r w:rsidRPr="00206568">
        <w:rPr>
          <w:rFonts w:asciiTheme="majorHAnsi" w:hAnsiTheme="majorHAnsi" w:cs="Times New Roman"/>
          <w:sz w:val="22"/>
          <w:szCs w:val="22"/>
        </w:rPr>
        <w:t xml:space="preserve"> </w:t>
      </w:r>
      <w:proofErr w:type="spellStart"/>
      <w:r w:rsidRPr="00206568">
        <w:rPr>
          <w:rFonts w:asciiTheme="majorHAnsi" w:hAnsiTheme="majorHAnsi" w:cs="Times New Roman"/>
          <w:sz w:val="22"/>
          <w:szCs w:val="22"/>
        </w:rPr>
        <w:t>Hirte</w:t>
      </w:r>
      <w:proofErr w:type="spell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Should Subsidies to Urban Passenger Transport Be Increased? A Spatial CGE Analysis for a German Metropolitan Area</w:t>
      </w:r>
      <w:r w:rsidRPr="00206568">
        <w:rPr>
          <w:rFonts w:asciiTheme="majorHAnsi" w:hAnsiTheme="majorHAnsi" w:cs="Times New Roman"/>
          <w:sz w:val="22"/>
          <w:szCs w:val="22"/>
        </w:rPr>
        <w:t>, 46 Transportation Research Part A: Policy and Practice 285 (February 2012).</w:t>
      </w:r>
    </w:p>
  </w:footnote>
  <w:footnote w:id="17">
    <w:p w14:paraId="674998CA" w14:textId="77777777" w:rsidR="00A17686" w:rsidRPr="00206568" w:rsidRDefault="00A17686" w:rsidP="001C7390">
      <w:pPr>
        <w:autoSpaceDE w:val="0"/>
        <w:autoSpaceDN w:val="0"/>
        <w:adjustRightInd w:val="0"/>
        <w:spacing w:after="60"/>
        <w:rPr>
          <w:rFonts w:asciiTheme="majorHAnsi" w:hAnsiTheme="majorHAnsi" w:cs="Times New Roman"/>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Vivien Foster, Jonathan Halpern, Kristin </w:t>
      </w:r>
      <w:proofErr w:type="spellStart"/>
      <w:r w:rsidRPr="00206568">
        <w:rPr>
          <w:rFonts w:asciiTheme="majorHAnsi" w:hAnsiTheme="majorHAnsi" w:cs="Times New Roman"/>
          <w:sz w:val="22"/>
          <w:szCs w:val="22"/>
        </w:rPr>
        <w:t>Komives</w:t>
      </w:r>
      <w:proofErr w:type="spellEnd"/>
      <w:proofErr w:type="gramStart"/>
      <w:r w:rsidRPr="00206568">
        <w:rPr>
          <w:rFonts w:asciiTheme="majorHAnsi" w:hAnsiTheme="majorHAnsi" w:cs="Times New Roman"/>
          <w:sz w:val="22"/>
          <w:szCs w:val="22"/>
        </w:rPr>
        <w:t>,  and</w:t>
      </w:r>
      <w:proofErr w:type="gramEnd"/>
      <w:r w:rsidRPr="00206568">
        <w:rPr>
          <w:rFonts w:asciiTheme="majorHAnsi" w:hAnsiTheme="majorHAnsi" w:cs="Times New Roman"/>
          <w:sz w:val="22"/>
          <w:szCs w:val="22"/>
        </w:rPr>
        <w:t xml:space="preserve"> Quentin </w:t>
      </w:r>
      <w:proofErr w:type="spellStart"/>
      <w:r w:rsidRPr="00206568">
        <w:rPr>
          <w:rFonts w:asciiTheme="majorHAnsi" w:hAnsiTheme="majorHAnsi" w:cs="Times New Roman"/>
          <w:sz w:val="22"/>
          <w:szCs w:val="22"/>
        </w:rPr>
        <w:t>Wodon</w:t>
      </w:r>
      <w:proofErr w:type="spell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Water, Electricity and the Poor: Who benefits from Utility Subsidies?</w:t>
      </w:r>
      <w:r w:rsidRPr="00206568">
        <w:rPr>
          <w:rFonts w:asciiTheme="majorHAnsi" w:hAnsiTheme="majorHAnsi" w:cs="Times New Roman"/>
          <w:sz w:val="22"/>
          <w:szCs w:val="22"/>
        </w:rPr>
        <w:t xml:space="preserve"> </w:t>
      </w:r>
      <w:proofErr w:type="gramStart"/>
      <w:r w:rsidRPr="00206568">
        <w:rPr>
          <w:rFonts w:asciiTheme="majorHAnsi" w:hAnsiTheme="majorHAnsi" w:cs="Times New Roman"/>
          <w:sz w:val="22"/>
          <w:szCs w:val="22"/>
        </w:rPr>
        <w:t>97 (World Bank 2005).</w:t>
      </w:r>
      <w:proofErr w:type="gramEnd"/>
    </w:p>
  </w:footnote>
  <w:footnote w:id="18">
    <w:p w14:paraId="0D7769E2" w14:textId="77777777" w:rsidR="00A17686" w:rsidRPr="00206568" w:rsidRDefault="00A17686" w:rsidP="001C7390">
      <w:pPr>
        <w:autoSpaceDE w:val="0"/>
        <w:autoSpaceDN w:val="0"/>
        <w:adjustRightInd w:val="0"/>
        <w:spacing w:after="60"/>
        <w:rPr>
          <w:rFonts w:asciiTheme="majorHAnsi" w:hAnsiTheme="majorHAnsi" w:cs="Times New Roman"/>
          <w:sz w:val="22"/>
          <w:szCs w:val="22"/>
        </w:rPr>
      </w:pPr>
      <w:r w:rsidRPr="00206568">
        <w:rPr>
          <w:rStyle w:val="FootnoteReference"/>
          <w:rFonts w:cs="Times New Roman"/>
          <w:sz w:val="22"/>
          <w:szCs w:val="22"/>
        </w:rPr>
        <w:footnoteRef/>
      </w:r>
      <w:r w:rsidRPr="00206568">
        <w:rPr>
          <w:rFonts w:asciiTheme="majorHAnsi" w:hAnsiTheme="majorHAnsi" w:cs="Times New Roman"/>
          <w:sz w:val="22"/>
          <w:szCs w:val="22"/>
        </w:rPr>
        <w:t xml:space="preserve"> David Banister, </w:t>
      </w:r>
      <w:r w:rsidRPr="00206568">
        <w:rPr>
          <w:rFonts w:asciiTheme="majorHAnsi" w:hAnsiTheme="majorHAnsi" w:cs="Times New Roman"/>
          <w:i/>
          <w:sz w:val="22"/>
          <w:szCs w:val="22"/>
        </w:rPr>
        <w:t xml:space="preserve">Equity and Acceptability Questions in </w:t>
      </w:r>
      <w:proofErr w:type="spellStart"/>
      <w:r w:rsidRPr="00206568">
        <w:rPr>
          <w:rFonts w:asciiTheme="majorHAnsi" w:hAnsiTheme="majorHAnsi" w:cs="Times New Roman"/>
          <w:i/>
          <w:sz w:val="22"/>
          <w:szCs w:val="22"/>
        </w:rPr>
        <w:t>Internalising</w:t>
      </w:r>
      <w:proofErr w:type="spellEnd"/>
      <w:r w:rsidRPr="00206568">
        <w:rPr>
          <w:rFonts w:asciiTheme="majorHAnsi" w:hAnsiTheme="majorHAnsi" w:cs="Times New Roman"/>
          <w:i/>
          <w:sz w:val="22"/>
          <w:szCs w:val="22"/>
        </w:rPr>
        <w:t xml:space="preserve"> Social Costs of Transport,</w:t>
      </w:r>
      <w:r w:rsidRPr="00206568">
        <w:rPr>
          <w:rFonts w:asciiTheme="majorHAnsi" w:hAnsiTheme="majorHAnsi" w:cs="Times New Roman"/>
          <w:sz w:val="22"/>
          <w:szCs w:val="22"/>
        </w:rPr>
        <w:t xml:space="preserve"> </w:t>
      </w:r>
      <w:proofErr w:type="spellStart"/>
      <w:r w:rsidRPr="00206568">
        <w:rPr>
          <w:rFonts w:asciiTheme="majorHAnsi" w:hAnsiTheme="majorHAnsi" w:cs="Times New Roman"/>
          <w:sz w:val="22"/>
          <w:szCs w:val="22"/>
        </w:rPr>
        <w:t>Internalising</w:t>
      </w:r>
      <w:proofErr w:type="spellEnd"/>
      <w:r w:rsidRPr="00206568">
        <w:rPr>
          <w:rFonts w:asciiTheme="majorHAnsi" w:hAnsiTheme="majorHAnsi" w:cs="Times New Roman"/>
          <w:sz w:val="22"/>
          <w:szCs w:val="22"/>
        </w:rPr>
        <w:t xml:space="preserve"> the Social Costs of Transport, 153 (OECD 2004). Jonas </w:t>
      </w:r>
      <w:proofErr w:type="spellStart"/>
      <w:r w:rsidRPr="00206568">
        <w:rPr>
          <w:rFonts w:asciiTheme="majorHAnsi" w:hAnsiTheme="majorHAnsi" w:cs="Times New Roman"/>
          <w:sz w:val="22"/>
          <w:szCs w:val="22"/>
        </w:rPr>
        <w:t>Eliasson</w:t>
      </w:r>
      <w:proofErr w:type="spellEnd"/>
      <w:r w:rsidRPr="00206568">
        <w:rPr>
          <w:rFonts w:asciiTheme="majorHAnsi" w:hAnsiTheme="majorHAnsi" w:cs="Times New Roman"/>
          <w:sz w:val="22"/>
          <w:szCs w:val="22"/>
        </w:rPr>
        <w:t xml:space="preserve"> and Lars-</w:t>
      </w:r>
      <w:proofErr w:type="spellStart"/>
      <w:r w:rsidRPr="00206568">
        <w:rPr>
          <w:rFonts w:asciiTheme="majorHAnsi" w:hAnsiTheme="majorHAnsi" w:cs="Times New Roman"/>
          <w:sz w:val="22"/>
          <w:szCs w:val="22"/>
        </w:rPr>
        <w:t>Goran</w:t>
      </w:r>
      <w:proofErr w:type="spellEnd"/>
      <w:r w:rsidRPr="00206568">
        <w:rPr>
          <w:rFonts w:asciiTheme="majorHAnsi" w:hAnsiTheme="majorHAnsi" w:cs="Times New Roman"/>
          <w:sz w:val="22"/>
          <w:szCs w:val="22"/>
        </w:rPr>
        <w:t xml:space="preserve"> </w:t>
      </w:r>
      <w:proofErr w:type="spellStart"/>
      <w:r w:rsidRPr="00206568">
        <w:rPr>
          <w:rFonts w:asciiTheme="majorHAnsi" w:hAnsiTheme="majorHAnsi" w:cs="Times New Roman"/>
          <w:sz w:val="22"/>
          <w:szCs w:val="22"/>
        </w:rPr>
        <w:t>Mattsson</w:t>
      </w:r>
      <w:proofErr w:type="spell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Equity Effects of Congestion Pricing Quantitative Methodology and a Case Study for Stockholm</w:t>
      </w:r>
      <w:r w:rsidRPr="00206568">
        <w:rPr>
          <w:rFonts w:asciiTheme="majorHAnsi" w:hAnsiTheme="majorHAnsi" w:cs="Times New Roman"/>
          <w:sz w:val="22"/>
          <w:szCs w:val="22"/>
        </w:rPr>
        <w:t xml:space="preserve">, 40 Transportation Research Part A 602 (2006). For a helpful review of the literature, see David Levinson, </w:t>
      </w:r>
      <w:r w:rsidRPr="00206568">
        <w:rPr>
          <w:rFonts w:asciiTheme="majorHAnsi" w:hAnsiTheme="majorHAnsi" w:cs="Times New Roman"/>
          <w:i/>
          <w:sz w:val="22"/>
          <w:szCs w:val="22"/>
        </w:rPr>
        <w:t>Equity Effects of Road Pricing: A Review</w:t>
      </w:r>
      <w:r w:rsidRPr="00206568">
        <w:rPr>
          <w:rFonts w:asciiTheme="majorHAnsi" w:hAnsiTheme="majorHAnsi" w:cs="Times New Roman"/>
          <w:sz w:val="22"/>
          <w:szCs w:val="22"/>
        </w:rPr>
        <w:t>, 30 Transport Reviews 33 (2009).</w:t>
      </w:r>
    </w:p>
  </w:footnote>
  <w:footnote w:id="19">
    <w:p w14:paraId="3925B72D"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Todd </w:t>
      </w:r>
      <w:proofErr w:type="spellStart"/>
      <w:r w:rsidRPr="00206568">
        <w:rPr>
          <w:rFonts w:asciiTheme="majorHAnsi" w:hAnsiTheme="majorHAnsi"/>
          <w:sz w:val="22"/>
          <w:szCs w:val="22"/>
        </w:rPr>
        <w:t>Litman</w:t>
      </w:r>
      <w:proofErr w:type="spellEnd"/>
      <w:r w:rsidRPr="00206568">
        <w:rPr>
          <w:rFonts w:asciiTheme="majorHAnsi" w:hAnsiTheme="majorHAnsi"/>
          <w:sz w:val="22"/>
          <w:szCs w:val="22"/>
        </w:rPr>
        <w:t xml:space="preserve"> and Marc </w:t>
      </w:r>
      <w:proofErr w:type="spellStart"/>
      <w:r w:rsidRPr="00206568">
        <w:rPr>
          <w:rFonts w:asciiTheme="majorHAnsi" w:hAnsiTheme="majorHAnsi"/>
          <w:sz w:val="22"/>
          <w:szCs w:val="22"/>
        </w:rPr>
        <w:t>Brenman</w:t>
      </w:r>
      <w:proofErr w:type="spellEnd"/>
      <w:r w:rsidRPr="00206568">
        <w:rPr>
          <w:rFonts w:asciiTheme="majorHAnsi" w:hAnsiTheme="majorHAnsi"/>
          <w:sz w:val="22"/>
          <w:szCs w:val="22"/>
        </w:rPr>
        <w:t xml:space="preserve">, </w:t>
      </w:r>
      <w:r w:rsidRPr="00E22FCD">
        <w:rPr>
          <w:rFonts w:asciiTheme="majorHAnsi" w:hAnsiTheme="majorHAnsi"/>
          <w:bCs/>
          <w:i/>
          <w:sz w:val="22"/>
          <w:szCs w:val="22"/>
        </w:rPr>
        <w:t>A New Social Equity Agenda For Sustainable Transportation</w:t>
      </w:r>
      <w:r w:rsidRPr="00206568">
        <w:rPr>
          <w:rFonts w:asciiTheme="majorHAnsi" w:hAnsiTheme="majorHAnsi"/>
          <w:bCs/>
          <w:sz w:val="22"/>
          <w:szCs w:val="22"/>
        </w:rPr>
        <w:t xml:space="preserve"> (Victoria Transport Policy Institute, 2012).</w:t>
      </w:r>
    </w:p>
  </w:footnote>
  <w:footnote w:id="20">
    <w:p w14:paraId="76F11C66"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cs="Times New Roman"/>
          <w:sz w:val="22"/>
          <w:szCs w:val="22"/>
        </w:rPr>
        <w:t xml:space="preserve">Paul J DiMaggio, </w:t>
      </w:r>
      <w:r w:rsidRPr="00206568">
        <w:rPr>
          <w:rFonts w:asciiTheme="majorHAnsi" w:hAnsiTheme="majorHAnsi" w:cs="Times New Roman"/>
          <w:i/>
          <w:sz w:val="22"/>
          <w:szCs w:val="22"/>
        </w:rPr>
        <w:t>The Museum and the Public</w:t>
      </w:r>
      <w:r w:rsidRPr="00206568">
        <w:rPr>
          <w:rFonts w:asciiTheme="majorHAnsi" w:hAnsiTheme="majorHAnsi" w:cs="Times New Roman"/>
          <w:sz w:val="22"/>
          <w:szCs w:val="22"/>
        </w:rPr>
        <w:t xml:space="preserve">, in Martin Feldstein, </w:t>
      </w:r>
      <w:proofErr w:type="spellStart"/>
      <w:r w:rsidRPr="00206568">
        <w:rPr>
          <w:rFonts w:asciiTheme="majorHAnsi" w:hAnsiTheme="majorHAnsi" w:cs="Times New Roman"/>
          <w:sz w:val="22"/>
          <w:szCs w:val="22"/>
        </w:rPr>
        <w:t>ed</w:t>
      </w:r>
      <w:proofErr w:type="spellEnd"/>
      <w:r w:rsidRPr="00206568">
        <w:rPr>
          <w:rFonts w:asciiTheme="majorHAnsi" w:hAnsiTheme="majorHAnsi" w:cs="Times New Roman"/>
          <w:sz w:val="22"/>
          <w:szCs w:val="22"/>
        </w:rPr>
        <w:t xml:space="preserve">, </w:t>
      </w:r>
      <w:r w:rsidRPr="00206568">
        <w:rPr>
          <w:rFonts w:asciiTheme="majorHAnsi" w:hAnsiTheme="majorHAnsi" w:cs="Times New Roman"/>
          <w:i/>
          <w:sz w:val="22"/>
          <w:szCs w:val="22"/>
        </w:rPr>
        <w:t>The Economics of Museums</w:t>
      </w:r>
      <w:r w:rsidRPr="00206568">
        <w:rPr>
          <w:rFonts w:asciiTheme="majorHAnsi" w:hAnsiTheme="majorHAnsi" w:cs="Times New Roman"/>
          <w:sz w:val="22"/>
          <w:szCs w:val="22"/>
        </w:rPr>
        <w:t xml:space="preserve"> 39 (1991); Juan </w:t>
      </w:r>
      <w:proofErr w:type="spellStart"/>
      <w:r w:rsidRPr="00206568">
        <w:rPr>
          <w:rFonts w:asciiTheme="majorHAnsi" w:hAnsiTheme="majorHAnsi" w:cs="Times New Roman"/>
          <w:sz w:val="22"/>
          <w:szCs w:val="22"/>
        </w:rPr>
        <w:t>Prieto</w:t>
      </w:r>
      <w:proofErr w:type="spellEnd"/>
      <w:r w:rsidRPr="00206568">
        <w:rPr>
          <w:rFonts w:asciiTheme="majorHAnsi" w:hAnsiTheme="majorHAnsi" w:cs="Times New Roman"/>
          <w:sz w:val="22"/>
          <w:szCs w:val="22"/>
        </w:rPr>
        <w:t xml:space="preserve">-Rodriguez and Victor Fernandez-Blanco, </w:t>
      </w:r>
      <w:r w:rsidRPr="00206568">
        <w:rPr>
          <w:rFonts w:asciiTheme="majorHAnsi" w:hAnsiTheme="majorHAnsi" w:cs="Times New Roman"/>
          <w:i/>
          <w:sz w:val="22"/>
          <w:szCs w:val="22"/>
        </w:rPr>
        <w:t>Optimal Pricing and Grant Policies for Museums</w:t>
      </w:r>
      <w:r w:rsidRPr="00206568">
        <w:rPr>
          <w:rFonts w:asciiTheme="majorHAnsi" w:hAnsiTheme="majorHAnsi" w:cs="Times New Roman"/>
          <w:sz w:val="22"/>
          <w:szCs w:val="22"/>
        </w:rPr>
        <w:t>, 30 J Cult Econ 169 (2006).</w:t>
      </w:r>
    </w:p>
  </w:footnote>
  <w:footnote w:id="21">
    <w:p w14:paraId="1ADB7A34"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generally, Alan Feld, et al, </w:t>
      </w:r>
      <w:r w:rsidRPr="00206568">
        <w:rPr>
          <w:rFonts w:asciiTheme="majorHAnsi" w:hAnsiTheme="majorHAnsi"/>
          <w:i/>
          <w:sz w:val="22"/>
          <w:szCs w:val="22"/>
        </w:rPr>
        <w:t>Patrons Despite Themselves: Taxpayers and Arts Policy</w:t>
      </w:r>
      <w:r w:rsidRPr="00206568">
        <w:rPr>
          <w:rFonts w:asciiTheme="majorHAnsi" w:hAnsiTheme="majorHAnsi"/>
          <w:sz w:val="22"/>
          <w:szCs w:val="22"/>
        </w:rPr>
        <w:t xml:space="preserve"> (NYU 1983); Alan Feld, </w:t>
      </w:r>
      <w:r w:rsidRPr="00206568">
        <w:rPr>
          <w:rFonts w:asciiTheme="majorHAnsi" w:hAnsiTheme="majorHAnsi"/>
          <w:i/>
          <w:sz w:val="22"/>
          <w:szCs w:val="22"/>
        </w:rPr>
        <w:t>Revisiting Tax Subsidies for Cultural Institutions</w:t>
      </w:r>
      <w:r w:rsidRPr="00206568">
        <w:rPr>
          <w:rFonts w:asciiTheme="majorHAnsi" w:hAnsiTheme="majorHAnsi"/>
          <w:sz w:val="22"/>
          <w:szCs w:val="22"/>
        </w:rPr>
        <w:t xml:space="preserve">, 32 J Cult Econ 275 (2008); </w:t>
      </w:r>
      <w:r w:rsidRPr="00206568">
        <w:rPr>
          <w:rFonts w:asciiTheme="majorHAnsi" w:hAnsiTheme="majorHAnsi" w:cs="Times New Roman"/>
          <w:sz w:val="22"/>
          <w:szCs w:val="22"/>
        </w:rPr>
        <w:t xml:space="preserve">Michael Rushton, </w:t>
      </w:r>
      <w:r w:rsidRPr="00206568">
        <w:rPr>
          <w:rFonts w:asciiTheme="majorHAnsi" w:hAnsiTheme="majorHAnsi" w:cs="Times New Roman"/>
          <w:i/>
          <w:sz w:val="22"/>
          <w:szCs w:val="22"/>
        </w:rPr>
        <w:t>Who Pays? Who Benefits? Who Decides</w:t>
      </w:r>
      <w:proofErr w:type="gramStart"/>
      <w:r w:rsidRPr="00206568">
        <w:rPr>
          <w:rFonts w:asciiTheme="majorHAnsi" w:hAnsiTheme="majorHAnsi" w:cs="Times New Roman"/>
          <w:i/>
          <w:sz w:val="22"/>
          <w:szCs w:val="22"/>
        </w:rPr>
        <w:t>?</w:t>
      </w:r>
      <w:r w:rsidRPr="00206568">
        <w:rPr>
          <w:rFonts w:asciiTheme="majorHAnsi" w:hAnsiTheme="majorHAnsi" w:cs="Times New Roman"/>
          <w:sz w:val="22"/>
          <w:szCs w:val="22"/>
        </w:rPr>
        <w:t>,</w:t>
      </w:r>
      <w:proofErr w:type="gramEnd"/>
      <w:r w:rsidRPr="00206568">
        <w:rPr>
          <w:rFonts w:asciiTheme="majorHAnsi" w:hAnsiTheme="majorHAnsi" w:cs="Times New Roman"/>
          <w:sz w:val="22"/>
          <w:szCs w:val="22"/>
        </w:rPr>
        <w:t xml:space="preserve"> 32 J Cult Econ 293; Museum attendance is also strongly correlated with education levels.</w:t>
      </w:r>
    </w:p>
  </w:footnote>
  <w:footnote w:id="22">
    <w:p w14:paraId="70EBEE2F" w14:textId="77777777" w:rsidR="00A17686" w:rsidRPr="00206568" w:rsidRDefault="00A17686" w:rsidP="008208B7">
      <w:pPr>
        <w:pStyle w:val="FootnoteText"/>
        <w:spacing w:after="60"/>
        <w:jc w:val="both"/>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Richard Epstein, </w:t>
      </w:r>
      <w:r w:rsidRPr="00206568">
        <w:rPr>
          <w:rFonts w:asciiTheme="majorHAnsi" w:hAnsiTheme="majorHAnsi"/>
          <w:i/>
          <w:iCs/>
          <w:sz w:val="22"/>
          <w:szCs w:val="22"/>
        </w:rPr>
        <w:t>Products Liability as an Insurance Market</w:t>
      </w:r>
      <w:r w:rsidRPr="00206568">
        <w:rPr>
          <w:rFonts w:asciiTheme="majorHAnsi" w:hAnsiTheme="majorHAnsi"/>
          <w:sz w:val="22"/>
          <w:szCs w:val="22"/>
        </w:rPr>
        <w:t xml:space="preserve">, 14 J. </w:t>
      </w:r>
      <w:r w:rsidRPr="00206568">
        <w:rPr>
          <w:rFonts w:asciiTheme="majorHAnsi" w:eastAsia="Times New Roman" w:hAnsiTheme="majorHAnsi" w:cs="Times New Roman"/>
          <w:smallCaps/>
          <w:sz w:val="22"/>
          <w:szCs w:val="22"/>
        </w:rPr>
        <w:t xml:space="preserve">Legal </w:t>
      </w:r>
      <w:proofErr w:type="gramStart"/>
      <w:r w:rsidRPr="00206568">
        <w:rPr>
          <w:rFonts w:asciiTheme="majorHAnsi" w:eastAsia="Times New Roman" w:hAnsiTheme="majorHAnsi" w:cs="Times New Roman"/>
          <w:smallCaps/>
          <w:sz w:val="22"/>
          <w:szCs w:val="22"/>
        </w:rPr>
        <w:t>Stud</w:t>
      </w:r>
      <w:proofErr w:type="gramEnd"/>
      <w:r w:rsidRPr="00206568">
        <w:rPr>
          <w:rFonts w:asciiTheme="majorHAnsi" w:eastAsia="Times New Roman" w:hAnsiTheme="majorHAnsi" w:cs="Times New Roman"/>
          <w:smallCaps/>
          <w:sz w:val="22"/>
          <w:szCs w:val="22"/>
        </w:rPr>
        <w:t>.</w:t>
      </w:r>
      <w:r w:rsidRPr="00206568">
        <w:rPr>
          <w:rFonts w:asciiTheme="majorHAnsi" w:hAnsiTheme="majorHAnsi"/>
          <w:sz w:val="22"/>
          <w:szCs w:val="22"/>
        </w:rPr>
        <w:t xml:space="preserve"> 645, 648-49 (1985); James Henderson, </w:t>
      </w:r>
      <w:r w:rsidRPr="00206568">
        <w:rPr>
          <w:rFonts w:asciiTheme="majorHAnsi" w:hAnsiTheme="majorHAnsi"/>
          <w:i/>
          <w:iCs/>
          <w:sz w:val="22"/>
          <w:szCs w:val="22"/>
        </w:rPr>
        <w:t>Revising Section 402A: The Limits of Tort as Social Insurance</w:t>
      </w:r>
      <w:r w:rsidRPr="00206568">
        <w:rPr>
          <w:rFonts w:asciiTheme="majorHAnsi" w:hAnsiTheme="majorHAnsi"/>
          <w:sz w:val="22"/>
          <w:szCs w:val="22"/>
        </w:rPr>
        <w:t xml:space="preserve">, 10 </w:t>
      </w:r>
      <w:proofErr w:type="spellStart"/>
      <w:r w:rsidRPr="00206568">
        <w:rPr>
          <w:rFonts w:asciiTheme="majorHAnsi" w:hAnsiTheme="majorHAnsi"/>
          <w:smallCaps/>
          <w:sz w:val="22"/>
          <w:szCs w:val="22"/>
        </w:rPr>
        <w:t>Touro</w:t>
      </w:r>
      <w:proofErr w:type="spellEnd"/>
      <w:r w:rsidRPr="00206568">
        <w:rPr>
          <w:rFonts w:asciiTheme="majorHAnsi" w:hAnsiTheme="majorHAnsi"/>
          <w:smallCaps/>
          <w:sz w:val="22"/>
          <w:szCs w:val="22"/>
        </w:rPr>
        <w:t xml:space="preserve"> L. Rev</w:t>
      </w:r>
      <w:r w:rsidRPr="00206568">
        <w:rPr>
          <w:rFonts w:asciiTheme="majorHAnsi" w:hAnsiTheme="majorHAnsi"/>
          <w:sz w:val="22"/>
          <w:szCs w:val="22"/>
        </w:rPr>
        <w:t>. 107 (1994).</w:t>
      </w:r>
    </w:p>
  </w:footnote>
  <w:footnote w:id="23">
    <w:p w14:paraId="261D845A" w14:textId="77777777" w:rsidR="00A17686" w:rsidRPr="00206568" w:rsidRDefault="00A17686" w:rsidP="001C7390">
      <w:pPr>
        <w:pStyle w:val="FootnoteText"/>
        <w:spacing w:after="60"/>
        <w:jc w:val="both"/>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Walter Y. </w:t>
      </w:r>
      <w:proofErr w:type="spellStart"/>
      <w:r w:rsidRPr="00206568">
        <w:rPr>
          <w:rFonts w:asciiTheme="majorHAnsi" w:hAnsiTheme="majorHAnsi"/>
          <w:sz w:val="22"/>
          <w:szCs w:val="22"/>
        </w:rPr>
        <w:t>Oi</w:t>
      </w:r>
      <w:proofErr w:type="spellEnd"/>
      <w:r w:rsidRPr="00206568">
        <w:rPr>
          <w:rFonts w:asciiTheme="majorHAnsi" w:hAnsiTheme="majorHAnsi"/>
          <w:sz w:val="22"/>
          <w:szCs w:val="22"/>
        </w:rPr>
        <w:t xml:space="preserve">, </w:t>
      </w:r>
      <w:r w:rsidRPr="00206568">
        <w:rPr>
          <w:rFonts w:asciiTheme="majorHAnsi" w:hAnsiTheme="majorHAnsi"/>
          <w:i/>
          <w:iCs/>
          <w:sz w:val="22"/>
          <w:szCs w:val="22"/>
        </w:rPr>
        <w:t>The Economics of Product Safety</w:t>
      </w:r>
      <w:r w:rsidRPr="00206568">
        <w:rPr>
          <w:rFonts w:asciiTheme="majorHAnsi" w:hAnsiTheme="majorHAnsi"/>
          <w:sz w:val="22"/>
          <w:szCs w:val="22"/>
        </w:rPr>
        <w:t xml:space="preserve">, 4 Bell J. Econ. &amp; </w:t>
      </w:r>
      <w:proofErr w:type="spellStart"/>
      <w:r w:rsidRPr="00206568">
        <w:rPr>
          <w:rFonts w:asciiTheme="majorHAnsi" w:hAnsiTheme="majorHAnsi"/>
          <w:sz w:val="22"/>
          <w:szCs w:val="22"/>
        </w:rPr>
        <w:t>Mngt</w:t>
      </w:r>
      <w:proofErr w:type="spellEnd"/>
      <w:r w:rsidRPr="00206568">
        <w:rPr>
          <w:rFonts w:asciiTheme="majorHAnsi" w:hAnsiTheme="majorHAnsi"/>
          <w:sz w:val="22"/>
          <w:szCs w:val="22"/>
        </w:rPr>
        <w:t>. Sci. 3 (1973)</w:t>
      </w:r>
      <w:proofErr w:type="gramStart"/>
      <w:r w:rsidRPr="00206568">
        <w:rPr>
          <w:rFonts w:asciiTheme="majorHAnsi" w:hAnsiTheme="majorHAnsi"/>
          <w:sz w:val="22"/>
          <w:szCs w:val="22"/>
        </w:rPr>
        <w:t>;  James</w:t>
      </w:r>
      <w:proofErr w:type="gramEnd"/>
      <w:r w:rsidRPr="00206568">
        <w:rPr>
          <w:rFonts w:asciiTheme="majorHAnsi" w:hAnsiTheme="majorHAnsi"/>
          <w:sz w:val="22"/>
          <w:szCs w:val="22"/>
        </w:rPr>
        <w:t xml:space="preserve"> R. Garvin, </w:t>
      </w:r>
      <w:r w:rsidRPr="00206568">
        <w:rPr>
          <w:rFonts w:asciiTheme="majorHAnsi" w:hAnsiTheme="majorHAnsi"/>
          <w:i/>
          <w:iCs/>
          <w:sz w:val="22"/>
          <w:szCs w:val="22"/>
        </w:rPr>
        <w:t>Moral Hazard, Adverse Selection, and Tort Liability</w:t>
      </w:r>
      <w:r w:rsidRPr="00206568">
        <w:rPr>
          <w:rFonts w:asciiTheme="majorHAnsi" w:hAnsiTheme="majorHAnsi"/>
          <w:sz w:val="22"/>
          <w:szCs w:val="22"/>
        </w:rPr>
        <w:t xml:space="preserve">, 28 </w:t>
      </w:r>
      <w:r w:rsidRPr="00206568">
        <w:rPr>
          <w:rFonts w:asciiTheme="majorHAnsi" w:hAnsiTheme="majorHAnsi" w:cstheme="minorHAnsi"/>
          <w:smallCaps/>
          <w:sz w:val="22"/>
          <w:szCs w:val="22"/>
        </w:rPr>
        <w:t xml:space="preserve">J. Ins. </w:t>
      </w:r>
      <w:proofErr w:type="spellStart"/>
      <w:r w:rsidRPr="00206568">
        <w:rPr>
          <w:rFonts w:asciiTheme="majorHAnsi" w:hAnsiTheme="majorHAnsi" w:cstheme="minorHAnsi"/>
          <w:smallCaps/>
          <w:sz w:val="22"/>
          <w:szCs w:val="22"/>
        </w:rPr>
        <w:t>Iss</w:t>
      </w:r>
      <w:proofErr w:type="spellEnd"/>
      <w:r w:rsidRPr="00206568">
        <w:rPr>
          <w:rFonts w:asciiTheme="majorHAnsi" w:hAnsiTheme="majorHAnsi"/>
          <w:sz w:val="22"/>
          <w:szCs w:val="22"/>
        </w:rPr>
        <w:t xml:space="preserve">. 1, 7 (2005); Epstein, </w:t>
      </w:r>
      <w:r w:rsidRPr="00206568">
        <w:rPr>
          <w:rFonts w:asciiTheme="majorHAnsi" w:hAnsiTheme="majorHAnsi"/>
          <w:i/>
          <w:iCs/>
          <w:sz w:val="22"/>
          <w:szCs w:val="22"/>
        </w:rPr>
        <w:t>id</w:t>
      </w:r>
      <w:proofErr w:type="gramStart"/>
      <w:r w:rsidRPr="00206568">
        <w:rPr>
          <w:rFonts w:asciiTheme="majorHAnsi" w:hAnsiTheme="majorHAnsi"/>
          <w:i/>
          <w:iCs/>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at 650-51; </w:t>
      </w:r>
      <w:r w:rsidRPr="00206568">
        <w:rPr>
          <w:rFonts w:asciiTheme="majorHAnsi" w:hAnsiTheme="majorHAnsi" w:cstheme="minorHAnsi"/>
          <w:sz w:val="22"/>
          <w:szCs w:val="22"/>
        </w:rPr>
        <w:t xml:space="preserve">George Priest, </w:t>
      </w:r>
      <w:r w:rsidRPr="00206568">
        <w:rPr>
          <w:rFonts w:asciiTheme="majorHAnsi" w:hAnsiTheme="majorHAnsi" w:cstheme="minorHAnsi"/>
          <w:i/>
          <w:iCs/>
          <w:sz w:val="22"/>
          <w:szCs w:val="22"/>
        </w:rPr>
        <w:t>The Current Insurance Crisis and Modern Tort Law</w:t>
      </w:r>
      <w:r w:rsidRPr="00206568">
        <w:rPr>
          <w:rFonts w:asciiTheme="majorHAnsi" w:hAnsiTheme="majorHAnsi" w:cstheme="minorHAnsi"/>
          <w:sz w:val="22"/>
          <w:szCs w:val="22"/>
        </w:rPr>
        <w:t xml:space="preserve">, 96 </w:t>
      </w:r>
      <w:r w:rsidRPr="00206568">
        <w:rPr>
          <w:rFonts w:asciiTheme="majorHAnsi" w:hAnsiTheme="majorHAnsi" w:cstheme="minorHAnsi"/>
          <w:smallCaps/>
          <w:sz w:val="22"/>
          <w:szCs w:val="22"/>
        </w:rPr>
        <w:t>Yale L.J</w:t>
      </w:r>
      <w:r w:rsidRPr="00206568">
        <w:rPr>
          <w:rFonts w:asciiTheme="majorHAnsi" w:hAnsiTheme="majorHAnsi" w:cstheme="minorHAnsi"/>
          <w:sz w:val="22"/>
          <w:szCs w:val="22"/>
        </w:rPr>
        <w:t xml:space="preserve">. 1521, 1546, 1559-60 (1987); </w:t>
      </w:r>
      <w:r w:rsidRPr="00206568">
        <w:rPr>
          <w:rFonts w:asciiTheme="majorHAnsi" w:hAnsiTheme="majorHAnsi"/>
          <w:sz w:val="22"/>
          <w:szCs w:val="22"/>
        </w:rPr>
        <w:t>Alan Schwartz</w:t>
      </w:r>
      <w:r w:rsidRPr="00206568">
        <w:rPr>
          <w:rFonts w:asciiTheme="majorHAnsi" w:hAnsiTheme="majorHAnsi" w:cs="Times New Roman"/>
          <w:sz w:val="22"/>
          <w:szCs w:val="22"/>
        </w:rPr>
        <w:t xml:space="preserve">, </w:t>
      </w:r>
      <w:r w:rsidRPr="00206568">
        <w:rPr>
          <w:rFonts w:asciiTheme="majorHAnsi" w:hAnsiTheme="majorHAnsi" w:cstheme="minorHAnsi"/>
          <w:i/>
          <w:iCs/>
          <w:sz w:val="22"/>
          <w:szCs w:val="22"/>
        </w:rPr>
        <w:t>Proposals for Products Liability Reform: A Theoretical Synthesis</w:t>
      </w:r>
      <w:r w:rsidRPr="00206568">
        <w:rPr>
          <w:rFonts w:asciiTheme="majorHAnsi" w:hAnsiTheme="majorHAnsi" w:cstheme="minorHAnsi"/>
          <w:sz w:val="22"/>
          <w:szCs w:val="22"/>
        </w:rPr>
        <w:t xml:space="preserve">, </w:t>
      </w:r>
      <w:r w:rsidRPr="00206568">
        <w:rPr>
          <w:rFonts w:asciiTheme="majorHAnsi" w:hAnsiTheme="majorHAnsi" w:cstheme="minorHAnsi"/>
          <w:smallCaps/>
          <w:sz w:val="22"/>
          <w:szCs w:val="22"/>
        </w:rPr>
        <w:t>97</w:t>
      </w:r>
      <w:r w:rsidRPr="00206568">
        <w:rPr>
          <w:rFonts w:asciiTheme="majorHAnsi" w:hAnsiTheme="majorHAnsi" w:cs="Arial"/>
          <w:sz w:val="22"/>
          <w:szCs w:val="22"/>
        </w:rPr>
        <w:t xml:space="preserve"> </w:t>
      </w:r>
      <w:r w:rsidRPr="00206568">
        <w:rPr>
          <w:rFonts w:asciiTheme="majorHAnsi" w:hAnsiTheme="majorHAnsi" w:cstheme="minorHAnsi"/>
          <w:smallCaps/>
          <w:sz w:val="22"/>
          <w:szCs w:val="22"/>
        </w:rPr>
        <w:t>Yale L.J. 353, 405-06 (1988).</w:t>
      </w:r>
    </w:p>
  </w:footnote>
  <w:footnote w:id="24">
    <w:p w14:paraId="556B2D29" w14:textId="77777777" w:rsidR="00A17686" w:rsidRPr="00206568" w:rsidRDefault="00A17686" w:rsidP="001C7390">
      <w:pPr>
        <w:autoSpaceDE w:val="0"/>
        <w:autoSpaceDN w:val="0"/>
        <w:adjustRightInd w:val="0"/>
        <w:spacing w:after="60"/>
        <w:jc w:val="both"/>
        <w:rPr>
          <w:rFonts w:asciiTheme="majorHAnsi" w:hAnsiTheme="majorHAnsi" w:cs="Arial"/>
          <w:i/>
          <w:iCs/>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cstheme="minorHAnsi"/>
          <w:sz w:val="22"/>
          <w:szCs w:val="22"/>
        </w:rPr>
        <w:t xml:space="preserve">See U.S., </w:t>
      </w:r>
      <w:r w:rsidRPr="00206568">
        <w:rPr>
          <w:rFonts w:asciiTheme="majorHAnsi" w:hAnsiTheme="majorHAnsi" w:cstheme="minorHAnsi"/>
          <w:i/>
          <w:iCs/>
          <w:sz w:val="22"/>
          <w:szCs w:val="22"/>
        </w:rPr>
        <w:t>Hearings on Punitive Damages Tort Reform Before the Senate</w:t>
      </w:r>
      <w:r w:rsidRPr="00206568">
        <w:rPr>
          <w:rFonts w:asciiTheme="majorHAnsi" w:hAnsiTheme="majorHAnsi" w:cstheme="minorHAnsi"/>
          <w:sz w:val="22"/>
          <w:szCs w:val="22"/>
        </w:rPr>
        <w:t xml:space="preserve"> </w:t>
      </w:r>
      <w:r w:rsidRPr="00206568">
        <w:rPr>
          <w:rFonts w:asciiTheme="majorHAnsi" w:hAnsiTheme="majorHAnsi" w:cstheme="minorHAnsi"/>
          <w:i/>
          <w:iCs/>
          <w:sz w:val="22"/>
          <w:szCs w:val="22"/>
        </w:rPr>
        <w:t>Committee on the Judiciary</w:t>
      </w:r>
      <w:r w:rsidRPr="00206568">
        <w:rPr>
          <w:rFonts w:asciiTheme="majorHAnsi" w:hAnsiTheme="majorHAnsi" w:cstheme="minorHAnsi"/>
          <w:sz w:val="22"/>
          <w:szCs w:val="22"/>
        </w:rPr>
        <w:t xml:space="preserve">, 104th Cong. (1995) (WL 149954), cited in Gregory Miller, </w:t>
      </w:r>
      <w:r w:rsidRPr="00206568">
        <w:rPr>
          <w:rFonts w:asciiTheme="majorHAnsi" w:hAnsiTheme="majorHAnsi" w:cstheme="minorHAnsi"/>
          <w:i/>
          <w:iCs/>
          <w:sz w:val="22"/>
          <w:szCs w:val="22"/>
        </w:rPr>
        <w:t>Behind the Battle Lines: A Comparative Analysis of the Necessity to Enact Comprehensive Federal Products Liability Reforms</w:t>
      </w:r>
      <w:r w:rsidRPr="00206568">
        <w:rPr>
          <w:rFonts w:asciiTheme="majorHAnsi" w:hAnsiTheme="majorHAnsi" w:cstheme="minorHAnsi"/>
          <w:sz w:val="22"/>
          <w:szCs w:val="22"/>
        </w:rPr>
        <w:t xml:space="preserve">, 45 </w:t>
      </w:r>
      <w:r w:rsidRPr="00206568">
        <w:rPr>
          <w:rFonts w:asciiTheme="majorHAnsi" w:hAnsiTheme="majorHAnsi" w:cstheme="minorHAnsi"/>
          <w:smallCaps/>
          <w:sz w:val="22"/>
          <w:szCs w:val="22"/>
        </w:rPr>
        <w:t>Buff. L. Rev</w:t>
      </w:r>
      <w:r w:rsidRPr="00206568">
        <w:rPr>
          <w:rFonts w:asciiTheme="majorHAnsi" w:hAnsiTheme="majorHAnsi" w:cstheme="minorHAnsi"/>
          <w:sz w:val="22"/>
          <w:szCs w:val="22"/>
        </w:rPr>
        <w:t xml:space="preserve">. 241, 273 (1997); </w:t>
      </w:r>
      <w:proofErr w:type="spellStart"/>
      <w:r w:rsidRPr="00206568">
        <w:rPr>
          <w:rFonts w:asciiTheme="majorHAnsi" w:hAnsiTheme="majorHAnsi" w:cstheme="minorHAnsi"/>
          <w:sz w:val="22"/>
          <w:szCs w:val="22"/>
        </w:rPr>
        <w:t>Tsachi</w:t>
      </w:r>
      <w:proofErr w:type="spellEnd"/>
      <w:r w:rsidRPr="00206568">
        <w:rPr>
          <w:rFonts w:asciiTheme="majorHAnsi" w:hAnsiTheme="majorHAnsi" w:cstheme="minorHAnsi"/>
          <w:sz w:val="22"/>
          <w:szCs w:val="22"/>
        </w:rPr>
        <w:t xml:space="preserve"> </w:t>
      </w:r>
      <w:proofErr w:type="spellStart"/>
      <w:r w:rsidRPr="00206568">
        <w:rPr>
          <w:rFonts w:asciiTheme="majorHAnsi" w:hAnsiTheme="majorHAnsi" w:cstheme="minorHAnsi"/>
          <w:sz w:val="22"/>
          <w:szCs w:val="22"/>
        </w:rPr>
        <w:t>Keren</w:t>
      </w:r>
      <w:proofErr w:type="spellEnd"/>
      <w:r w:rsidRPr="00206568">
        <w:rPr>
          <w:rFonts w:asciiTheme="majorHAnsi" w:hAnsiTheme="majorHAnsi" w:cstheme="minorHAnsi"/>
          <w:sz w:val="22"/>
          <w:szCs w:val="22"/>
        </w:rPr>
        <w:t xml:space="preserve">-Paz, </w:t>
      </w:r>
      <w:r w:rsidRPr="00206568">
        <w:rPr>
          <w:rFonts w:asciiTheme="majorHAnsi" w:hAnsiTheme="majorHAnsi" w:cstheme="minorHAnsi"/>
          <w:i/>
          <w:iCs/>
          <w:sz w:val="22"/>
          <w:szCs w:val="22"/>
        </w:rPr>
        <w:t xml:space="preserve">Private Law Redistribution, Predictability, and Liberty, </w:t>
      </w:r>
      <w:r w:rsidRPr="00206568">
        <w:rPr>
          <w:rFonts w:asciiTheme="majorHAnsi" w:hAnsiTheme="majorHAnsi" w:cs="Times New Roman"/>
          <w:sz w:val="22"/>
          <w:szCs w:val="22"/>
        </w:rPr>
        <w:t xml:space="preserve">50 </w:t>
      </w:r>
      <w:r w:rsidRPr="00206568">
        <w:rPr>
          <w:rFonts w:asciiTheme="majorHAnsi" w:hAnsiTheme="majorHAnsi" w:cstheme="minorHAnsi"/>
          <w:smallCaps/>
          <w:sz w:val="22"/>
          <w:szCs w:val="22"/>
        </w:rPr>
        <w:t xml:space="preserve">McGill L.J. 327, 338 (2005). </w:t>
      </w:r>
    </w:p>
  </w:footnote>
  <w:footnote w:id="25">
    <w:p w14:paraId="0BB06E24"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093969">
        <w:rPr>
          <w:rFonts w:asciiTheme="majorHAnsi" w:hAnsiTheme="majorHAnsi"/>
          <w:sz w:val="22"/>
          <w:szCs w:val="22"/>
          <w:lang w:val="fr-FR"/>
        </w:rPr>
        <w:t xml:space="preserve"> </w:t>
      </w:r>
      <w:proofErr w:type="spellStart"/>
      <w:r w:rsidRPr="00093969">
        <w:rPr>
          <w:rFonts w:asciiTheme="majorHAnsi" w:hAnsiTheme="majorHAnsi"/>
          <w:sz w:val="22"/>
          <w:szCs w:val="22"/>
          <w:lang w:val="fr-FR"/>
        </w:rPr>
        <w:t>Emmett</w:t>
      </w:r>
      <w:proofErr w:type="spellEnd"/>
      <w:r w:rsidRPr="00093969">
        <w:rPr>
          <w:rFonts w:asciiTheme="majorHAnsi" w:hAnsiTheme="majorHAnsi"/>
          <w:sz w:val="22"/>
          <w:szCs w:val="22"/>
          <w:lang w:val="fr-FR"/>
        </w:rPr>
        <w:t xml:space="preserve"> B. </w:t>
      </w:r>
      <w:proofErr w:type="spellStart"/>
      <w:r w:rsidRPr="00093969">
        <w:rPr>
          <w:rFonts w:asciiTheme="majorHAnsi" w:hAnsiTheme="majorHAnsi"/>
          <w:sz w:val="22"/>
          <w:szCs w:val="22"/>
          <w:lang w:val="fr-FR"/>
        </w:rPr>
        <w:t>Keeler</w:t>
      </w:r>
      <w:proofErr w:type="spellEnd"/>
      <w:r w:rsidRPr="00093969">
        <w:rPr>
          <w:rFonts w:asciiTheme="majorHAnsi" w:hAnsiTheme="majorHAnsi"/>
          <w:sz w:val="22"/>
          <w:szCs w:val="22"/>
          <w:lang w:val="fr-FR"/>
        </w:rPr>
        <w:t xml:space="preserve">, et al. </w:t>
      </w:r>
      <w:r w:rsidRPr="00206568">
        <w:rPr>
          <w:rFonts w:asciiTheme="majorHAnsi" w:hAnsiTheme="majorHAnsi"/>
          <w:i/>
          <w:sz w:val="22"/>
          <w:szCs w:val="22"/>
        </w:rPr>
        <w:t>The Demand For Episodes of Medical Treatment in the Health Insurance Experiment</w:t>
      </w:r>
      <w:r w:rsidRPr="00206568">
        <w:rPr>
          <w:rFonts w:asciiTheme="majorHAnsi" w:hAnsiTheme="majorHAnsi"/>
          <w:sz w:val="22"/>
          <w:szCs w:val="22"/>
        </w:rPr>
        <w:t xml:space="preserve"> (1988); Joseph Newhouse, et al., </w:t>
      </w:r>
      <w:r w:rsidRPr="00206568">
        <w:rPr>
          <w:rFonts w:asciiTheme="majorHAnsi" w:hAnsiTheme="majorHAnsi"/>
          <w:i/>
          <w:sz w:val="22"/>
          <w:szCs w:val="22"/>
        </w:rPr>
        <w:t xml:space="preserve">Free For All? </w:t>
      </w:r>
      <w:proofErr w:type="gramStart"/>
      <w:r w:rsidRPr="00206568">
        <w:rPr>
          <w:rFonts w:asciiTheme="majorHAnsi" w:hAnsiTheme="majorHAnsi"/>
          <w:i/>
          <w:sz w:val="22"/>
          <w:szCs w:val="22"/>
        </w:rPr>
        <w:t xml:space="preserve">Lessons From the RAND Health Insurance Experiment </w:t>
      </w:r>
      <w:r w:rsidRPr="00206568">
        <w:rPr>
          <w:rFonts w:asciiTheme="majorHAnsi" w:hAnsiTheme="majorHAnsi"/>
          <w:sz w:val="22"/>
          <w:szCs w:val="22"/>
        </w:rPr>
        <w:t>(1993).</w:t>
      </w:r>
      <w:proofErr w:type="gramEnd"/>
    </w:p>
  </w:footnote>
  <w:footnote w:id="26">
    <w:p w14:paraId="0A7E124E"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gramStart"/>
      <w:r w:rsidRPr="00206568">
        <w:rPr>
          <w:rFonts w:asciiTheme="majorHAnsi" w:hAnsiTheme="majorHAnsi"/>
          <w:sz w:val="22"/>
          <w:szCs w:val="22"/>
        </w:rPr>
        <w:t xml:space="preserve">M. Gregg </w:t>
      </w:r>
      <w:proofErr w:type="spellStart"/>
      <w:r w:rsidRPr="00206568">
        <w:rPr>
          <w:rFonts w:asciiTheme="majorHAnsi" w:hAnsiTheme="majorHAnsi"/>
          <w:sz w:val="22"/>
          <w:szCs w:val="22"/>
        </w:rPr>
        <w:t>Bloche</w:t>
      </w:r>
      <w:proofErr w:type="spellEnd"/>
      <w:r w:rsidRPr="00206568">
        <w:rPr>
          <w:rFonts w:asciiTheme="majorHAnsi" w:hAnsiTheme="majorHAnsi"/>
          <w:sz w:val="22"/>
          <w:szCs w:val="22"/>
        </w:rPr>
        <w:t xml:space="preserve">, </w:t>
      </w:r>
      <w:r w:rsidRPr="00206568">
        <w:rPr>
          <w:rFonts w:asciiTheme="majorHAnsi" w:hAnsiTheme="majorHAnsi"/>
          <w:i/>
          <w:sz w:val="22"/>
          <w:szCs w:val="22"/>
        </w:rPr>
        <w:t>Race and Discretion in American Medicine</w:t>
      </w:r>
      <w:r w:rsidRPr="00206568">
        <w:rPr>
          <w:rFonts w:asciiTheme="majorHAnsi" w:hAnsiTheme="majorHAnsi"/>
          <w:sz w:val="22"/>
          <w:szCs w:val="22"/>
        </w:rPr>
        <w:t xml:space="preserve">, 1 </w:t>
      </w:r>
      <w:r w:rsidRPr="00206568">
        <w:rPr>
          <w:rFonts w:asciiTheme="majorHAnsi" w:hAnsiTheme="majorHAnsi"/>
          <w:iCs/>
          <w:sz w:val="22"/>
          <w:szCs w:val="22"/>
        </w:rPr>
        <w:t xml:space="preserve">Yale J. Health </w:t>
      </w:r>
      <w:proofErr w:type="spellStart"/>
      <w:r w:rsidRPr="00206568">
        <w:rPr>
          <w:rFonts w:asciiTheme="majorHAnsi" w:hAnsiTheme="majorHAnsi"/>
          <w:iCs/>
          <w:sz w:val="22"/>
          <w:szCs w:val="22"/>
        </w:rPr>
        <w:t>Pol’y</w:t>
      </w:r>
      <w:proofErr w:type="spellEnd"/>
      <w:r w:rsidRPr="00206568">
        <w:rPr>
          <w:rFonts w:asciiTheme="majorHAnsi" w:hAnsiTheme="majorHAnsi"/>
          <w:iCs/>
          <w:sz w:val="22"/>
          <w:szCs w:val="22"/>
        </w:rPr>
        <w:t xml:space="preserve"> L &amp; Ethics</w:t>
      </w:r>
      <w:r w:rsidRPr="00206568">
        <w:rPr>
          <w:rFonts w:asciiTheme="majorHAnsi" w:hAnsiTheme="majorHAnsi"/>
          <w:i/>
          <w:iCs/>
          <w:sz w:val="22"/>
          <w:szCs w:val="22"/>
        </w:rPr>
        <w:t xml:space="preserve"> </w:t>
      </w:r>
      <w:r w:rsidRPr="00206568">
        <w:rPr>
          <w:rFonts w:asciiTheme="majorHAnsi" w:hAnsiTheme="majorHAnsi"/>
          <w:sz w:val="22"/>
          <w:szCs w:val="22"/>
        </w:rPr>
        <w:t>95, 108 (2001).</w:t>
      </w:r>
      <w:proofErr w:type="gramEnd"/>
    </w:p>
  </w:footnote>
  <w:footnote w:id="27">
    <w:p w14:paraId="2190E8CB" w14:textId="77777777" w:rsidR="00A17686" w:rsidRPr="00206568" w:rsidRDefault="00A17686" w:rsidP="001C7390">
      <w:pPr>
        <w:autoSpaceDE w:val="0"/>
        <w:autoSpaceDN w:val="0"/>
        <w:adjustRightInd w:val="0"/>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Barak D. Richman, </w:t>
      </w:r>
      <w:r w:rsidRPr="00206568">
        <w:rPr>
          <w:rFonts w:asciiTheme="majorHAnsi" w:hAnsiTheme="majorHAnsi"/>
          <w:i/>
          <w:iCs/>
          <w:sz w:val="22"/>
          <w:szCs w:val="22"/>
        </w:rPr>
        <w:t>Insurance Expansions: Do They Hurt Those They Are Designed to Help</w:t>
      </w:r>
      <w:proofErr w:type="gramStart"/>
      <w:r w:rsidRPr="00206568">
        <w:rPr>
          <w:rFonts w:asciiTheme="majorHAnsi" w:hAnsiTheme="majorHAnsi"/>
          <w:i/>
          <w:iCs/>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26 </w:t>
      </w:r>
      <w:r w:rsidRPr="00206568">
        <w:rPr>
          <w:rFonts w:asciiTheme="majorHAnsi" w:hAnsiTheme="majorHAnsi"/>
          <w:smallCaps/>
          <w:sz w:val="22"/>
          <w:szCs w:val="22"/>
        </w:rPr>
        <w:t>Health Affairs</w:t>
      </w:r>
      <w:r w:rsidRPr="00206568">
        <w:rPr>
          <w:rFonts w:asciiTheme="majorHAnsi" w:hAnsiTheme="majorHAnsi"/>
          <w:sz w:val="22"/>
          <w:szCs w:val="22"/>
        </w:rPr>
        <w:t xml:space="preserve"> 1345 (2007).</w:t>
      </w:r>
    </w:p>
  </w:footnote>
  <w:footnote w:id="28">
    <w:p w14:paraId="4F3F7EE6"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i/>
          <w:iCs/>
          <w:sz w:val="22"/>
          <w:szCs w:val="22"/>
        </w:rPr>
        <w:t>Id</w:t>
      </w:r>
      <w:r w:rsidRPr="00206568">
        <w:rPr>
          <w:rFonts w:asciiTheme="majorHAnsi" w:hAnsiTheme="majorHAnsi"/>
          <w:sz w:val="22"/>
          <w:szCs w:val="22"/>
        </w:rPr>
        <w:t>, at p. 1353.</w:t>
      </w:r>
    </w:p>
  </w:footnote>
  <w:footnote w:id="29">
    <w:p w14:paraId="51F41E83" w14:textId="77777777" w:rsidR="00A17686" w:rsidRPr="00206568" w:rsidRDefault="00A17686" w:rsidP="001C7390">
      <w:pPr>
        <w:pStyle w:val="FootnoteText"/>
        <w:spacing w:after="60"/>
        <w:rPr>
          <w:rFonts w:asciiTheme="majorHAnsi" w:hAnsiTheme="majorHAnsi"/>
          <w:i/>
          <w:iCs/>
          <w:sz w:val="22"/>
          <w:szCs w:val="22"/>
        </w:rPr>
      </w:pPr>
      <w:r w:rsidRPr="00206568">
        <w:rPr>
          <w:rStyle w:val="FootnoteReference"/>
          <w:sz w:val="22"/>
          <w:szCs w:val="22"/>
        </w:rPr>
        <w:footnoteRef/>
      </w:r>
      <w:r w:rsidRPr="00206568">
        <w:rPr>
          <w:rFonts w:asciiTheme="majorHAnsi" w:hAnsiTheme="majorHAnsi"/>
          <w:sz w:val="22"/>
          <w:szCs w:val="22"/>
        </w:rPr>
        <w:t xml:space="preserve"> Barak Richman, Dan Grossman, Craig </w:t>
      </w:r>
      <w:proofErr w:type="spellStart"/>
      <w:r w:rsidRPr="00206568">
        <w:rPr>
          <w:rFonts w:asciiTheme="majorHAnsi" w:hAnsiTheme="majorHAnsi"/>
          <w:sz w:val="22"/>
          <w:szCs w:val="22"/>
        </w:rPr>
        <w:t>Chepke</w:t>
      </w:r>
      <w:proofErr w:type="spellEnd"/>
      <w:r w:rsidRPr="00206568">
        <w:rPr>
          <w:rFonts w:asciiTheme="majorHAnsi" w:hAnsiTheme="majorHAnsi"/>
          <w:sz w:val="22"/>
          <w:szCs w:val="22"/>
        </w:rPr>
        <w:t xml:space="preserve">, &amp; Frank Sloan, </w:t>
      </w:r>
      <w:r w:rsidRPr="00206568">
        <w:rPr>
          <w:rFonts w:asciiTheme="majorHAnsi" w:hAnsiTheme="majorHAnsi"/>
          <w:i/>
          <w:iCs/>
          <w:sz w:val="22"/>
          <w:szCs w:val="22"/>
        </w:rPr>
        <w:t>Mental Health Care Consumption and Outcomes: Considering Preventative Strategies Across Race and Class</w:t>
      </w:r>
      <w:r w:rsidRPr="00206568">
        <w:rPr>
          <w:rFonts w:asciiTheme="majorHAnsi" w:hAnsiTheme="majorHAnsi"/>
          <w:sz w:val="22"/>
          <w:szCs w:val="22"/>
        </w:rPr>
        <w:t xml:space="preserve">  (http://papers.ssrn.com/sol3/papers.cfm</w:t>
      </w:r>
      <w:proofErr w:type="gramStart"/>
      <w:r w:rsidRPr="00206568">
        <w:rPr>
          <w:rFonts w:asciiTheme="majorHAnsi" w:hAnsiTheme="majorHAnsi"/>
          <w:sz w:val="22"/>
          <w:szCs w:val="22"/>
        </w:rPr>
        <w:t>?abstract</w:t>
      </w:r>
      <w:proofErr w:type="gramEnd"/>
      <w:r w:rsidRPr="00206568">
        <w:rPr>
          <w:rFonts w:asciiTheme="majorHAnsi" w:hAnsiTheme="majorHAnsi"/>
          <w:sz w:val="22"/>
          <w:szCs w:val="22"/>
        </w:rPr>
        <w:t>_id=1989038).</w:t>
      </w:r>
    </w:p>
  </w:footnote>
  <w:footnote w:id="30">
    <w:p w14:paraId="1D436314" w14:textId="77777777" w:rsidR="00A17686" w:rsidRPr="00206568" w:rsidRDefault="00A17686" w:rsidP="001C7390">
      <w:pPr>
        <w:spacing w:after="60"/>
        <w:jc w:val="both"/>
        <w:rPr>
          <w:rFonts w:asciiTheme="majorHAnsi" w:hAnsiTheme="majorHAnsi"/>
          <w:sz w:val="22"/>
          <w:szCs w:val="22"/>
        </w:rPr>
      </w:pPr>
      <w:r w:rsidRPr="00206568">
        <w:rPr>
          <w:rFonts w:asciiTheme="majorHAnsi" w:hAnsiTheme="majorHAnsi"/>
          <w:sz w:val="22"/>
          <w:szCs w:val="22"/>
        </w:rPr>
        <w:footnoteRef/>
      </w:r>
      <w:r w:rsidRPr="00206568">
        <w:rPr>
          <w:rFonts w:asciiTheme="majorHAnsi" w:hAnsiTheme="majorHAnsi"/>
          <w:sz w:val="22"/>
          <w:szCs w:val="22"/>
        </w:rPr>
        <w:t xml:space="preserve"> S. Michael Sharp, </w:t>
      </w:r>
      <w:r w:rsidRPr="00E22FCD">
        <w:rPr>
          <w:rFonts w:asciiTheme="majorHAnsi" w:hAnsiTheme="majorHAnsi"/>
          <w:i/>
          <w:sz w:val="22"/>
          <w:szCs w:val="22"/>
        </w:rPr>
        <w:t>Consent Documents for Oncology Trials: Does Anybody Read These Things</w:t>
      </w:r>
      <w:proofErr w:type="gramStart"/>
      <w:r w:rsidRPr="00E22FCD">
        <w:rPr>
          <w:rFonts w:asciiTheme="majorHAnsi" w:hAnsiTheme="majorHAnsi"/>
          <w:i/>
          <w:sz w:val="22"/>
          <w:szCs w:val="22"/>
        </w:rPr>
        <w:t>?,</w:t>
      </w:r>
      <w:proofErr w:type="gramEnd"/>
      <w:r w:rsidRPr="00E22FCD">
        <w:rPr>
          <w:rFonts w:asciiTheme="majorHAnsi" w:hAnsiTheme="majorHAnsi"/>
          <w:i/>
          <w:sz w:val="22"/>
          <w:szCs w:val="22"/>
        </w:rPr>
        <w:t xml:space="preserve"> 27 American Journal of Clinical Oncology</w:t>
      </w:r>
      <w:r w:rsidRPr="00206568">
        <w:rPr>
          <w:rFonts w:asciiTheme="majorHAnsi" w:hAnsiTheme="majorHAnsi"/>
          <w:sz w:val="22"/>
          <w:szCs w:val="22"/>
        </w:rPr>
        <w:t xml:space="preserve"> 570, 570 (2004); Angela </w:t>
      </w:r>
      <w:proofErr w:type="spellStart"/>
      <w:r w:rsidRPr="00206568">
        <w:rPr>
          <w:rFonts w:asciiTheme="majorHAnsi" w:hAnsiTheme="majorHAnsi"/>
          <w:sz w:val="22"/>
          <w:szCs w:val="22"/>
        </w:rPr>
        <w:t>Fagerlin</w:t>
      </w:r>
      <w:proofErr w:type="spellEnd"/>
      <w:r w:rsidRPr="00206568">
        <w:rPr>
          <w:rFonts w:asciiTheme="majorHAnsi" w:hAnsiTheme="majorHAnsi"/>
          <w:sz w:val="22"/>
          <w:szCs w:val="22"/>
        </w:rPr>
        <w:t xml:space="preserve"> et al, </w:t>
      </w:r>
      <w:r w:rsidRPr="00E22FCD">
        <w:rPr>
          <w:rFonts w:asciiTheme="majorHAnsi" w:hAnsiTheme="majorHAnsi"/>
          <w:i/>
          <w:sz w:val="22"/>
          <w:szCs w:val="22"/>
        </w:rPr>
        <w:t>Patient Education Materials About the Treatment of Early-Stage Prostate Cancer: A Critical Review</w:t>
      </w:r>
      <w:r w:rsidRPr="00206568">
        <w:rPr>
          <w:rFonts w:asciiTheme="majorHAnsi" w:hAnsiTheme="majorHAnsi"/>
          <w:sz w:val="22"/>
          <w:szCs w:val="22"/>
        </w:rPr>
        <w:t xml:space="preserve">, 140 Annals of Internal Medicine 721 (2004); Stuart A. Grossman et al, </w:t>
      </w:r>
      <w:r w:rsidRPr="00E22FCD">
        <w:rPr>
          <w:rFonts w:asciiTheme="majorHAnsi" w:hAnsiTheme="majorHAnsi"/>
          <w:i/>
          <w:sz w:val="22"/>
          <w:szCs w:val="22"/>
        </w:rPr>
        <w:t>Are Informed Consent Forms That Describe Clinical Oncology Research Protocols Readable by Most Patients and Their Families?</w:t>
      </w:r>
      <w:r w:rsidRPr="00206568">
        <w:rPr>
          <w:rFonts w:asciiTheme="majorHAnsi" w:hAnsiTheme="majorHAnsi"/>
          <w:sz w:val="22"/>
          <w:szCs w:val="22"/>
        </w:rPr>
        <w:t>, 12 Journal of Clinical Oncology 2211, 2212 (1994).</w:t>
      </w:r>
    </w:p>
  </w:footnote>
  <w:footnote w:id="31">
    <w:p w14:paraId="3D3CC7CA" w14:textId="77777777" w:rsidR="00A17686" w:rsidRPr="00206568" w:rsidRDefault="00A17686" w:rsidP="001C7390">
      <w:pPr>
        <w:spacing w:after="60"/>
        <w:jc w:val="both"/>
        <w:rPr>
          <w:rFonts w:asciiTheme="majorHAnsi" w:hAnsiTheme="majorHAnsi"/>
          <w:sz w:val="22"/>
          <w:szCs w:val="22"/>
        </w:rPr>
      </w:pPr>
      <w:r w:rsidRPr="00206568">
        <w:rPr>
          <w:rFonts w:asciiTheme="majorHAnsi" w:hAnsiTheme="majorHAnsi"/>
          <w:sz w:val="22"/>
          <w:szCs w:val="22"/>
        </w:rPr>
        <w:footnoteRef/>
      </w:r>
      <w:r w:rsidRPr="00206568">
        <w:rPr>
          <w:rFonts w:asciiTheme="majorHAnsi" w:hAnsiTheme="majorHAnsi"/>
          <w:sz w:val="22"/>
          <w:szCs w:val="22"/>
        </w:rPr>
        <w:t xml:space="preserve"> Barbara O’Neill et al., </w:t>
      </w:r>
      <w:r w:rsidRPr="00E22FCD">
        <w:rPr>
          <w:rFonts w:asciiTheme="majorHAnsi" w:hAnsiTheme="majorHAnsi"/>
          <w:i/>
          <w:sz w:val="22"/>
          <w:szCs w:val="22"/>
        </w:rPr>
        <w:t>Money 2000 Participants: Who Are They</w:t>
      </w:r>
      <w:proofErr w:type="gramStart"/>
      <w:r w:rsidRPr="00E22FCD">
        <w:rPr>
          <w:rFonts w:asciiTheme="majorHAnsi" w:hAnsiTheme="majorHAnsi"/>
          <w:i/>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37 J. Extension 6 (1999); Kimberly Gartner and Richard M. Todd, </w:t>
      </w:r>
      <w:r w:rsidRPr="00E22FCD">
        <w:rPr>
          <w:rFonts w:asciiTheme="majorHAnsi" w:hAnsiTheme="majorHAnsi"/>
          <w:i/>
          <w:sz w:val="22"/>
          <w:szCs w:val="22"/>
        </w:rPr>
        <w:t xml:space="preserve">Effectiveness of Online “Early Intervention” Financial Education for Credit Cardholders </w:t>
      </w:r>
      <w:r w:rsidRPr="00206568">
        <w:rPr>
          <w:rFonts w:asciiTheme="majorHAnsi" w:hAnsiTheme="majorHAnsi"/>
          <w:sz w:val="22"/>
          <w:szCs w:val="22"/>
        </w:rPr>
        <w:t>(July 2005).</w:t>
      </w:r>
    </w:p>
  </w:footnote>
  <w:footnote w:id="32">
    <w:p w14:paraId="5FC95BD6" w14:textId="77777777" w:rsidR="00A17686" w:rsidRPr="00206568" w:rsidRDefault="00A17686" w:rsidP="001C7390">
      <w:pPr>
        <w:spacing w:after="60"/>
        <w:jc w:val="both"/>
        <w:rPr>
          <w:rFonts w:asciiTheme="majorHAnsi" w:hAnsiTheme="majorHAnsi"/>
          <w:sz w:val="22"/>
          <w:szCs w:val="22"/>
        </w:rPr>
      </w:pPr>
      <w:r w:rsidRPr="00206568">
        <w:rPr>
          <w:rFonts w:asciiTheme="majorHAnsi" w:hAnsiTheme="majorHAnsi"/>
          <w:sz w:val="22"/>
          <w:szCs w:val="22"/>
        </w:rPr>
        <w:footnoteRef/>
      </w:r>
      <w:r w:rsidRPr="00206568">
        <w:rPr>
          <w:rFonts w:asciiTheme="majorHAnsi" w:hAnsiTheme="majorHAnsi"/>
          <w:sz w:val="22"/>
          <w:szCs w:val="22"/>
        </w:rPr>
        <w:t xml:space="preserve"> Kenneth McNeil et al, </w:t>
      </w:r>
      <w:r w:rsidRPr="00E22FCD">
        <w:rPr>
          <w:rFonts w:asciiTheme="majorHAnsi" w:hAnsiTheme="majorHAnsi"/>
          <w:i/>
          <w:sz w:val="22"/>
          <w:szCs w:val="22"/>
        </w:rPr>
        <w:t>Market Discrimination Against the Poor and the Impact of Consumer Disclosure Laws: The Used Car Industry</w:t>
      </w:r>
      <w:r w:rsidRPr="00206568">
        <w:rPr>
          <w:rFonts w:asciiTheme="majorHAnsi" w:hAnsiTheme="majorHAnsi"/>
          <w:sz w:val="22"/>
          <w:szCs w:val="22"/>
        </w:rPr>
        <w:t>, 13 Law &amp; Society Rev. 695, 699 (1979).</w:t>
      </w:r>
    </w:p>
  </w:footnote>
  <w:footnote w:id="33">
    <w:p w14:paraId="4AD4F736" w14:textId="77777777" w:rsidR="00A17686" w:rsidRPr="00206568" w:rsidRDefault="00A17686" w:rsidP="001C7390">
      <w:pPr>
        <w:spacing w:after="60"/>
        <w:jc w:val="both"/>
        <w:rPr>
          <w:rFonts w:asciiTheme="majorHAnsi" w:hAnsiTheme="majorHAnsi"/>
          <w:sz w:val="22"/>
          <w:szCs w:val="22"/>
        </w:rPr>
      </w:pPr>
      <w:r w:rsidRPr="00206568">
        <w:rPr>
          <w:rFonts w:asciiTheme="majorHAnsi" w:hAnsiTheme="majorHAnsi"/>
          <w:sz w:val="22"/>
          <w:szCs w:val="22"/>
        </w:rPr>
        <w:footnoteRef/>
      </w:r>
      <w:r w:rsidRPr="00206568">
        <w:rPr>
          <w:rFonts w:asciiTheme="majorHAnsi" w:hAnsiTheme="majorHAnsi"/>
          <w:sz w:val="22"/>
          <w:szCs w:val="22"/>
        </w:rPr>
        <w:t xml:space="preserve"> David </w:t>
      </w:r>
      <w:proofErr w:type="spellStart"/>
      <w:r w:rsidRPr="00206568">
        <w:rPr>
          <w:rFonts w:asciiTheme="majorHAnsi" w:hAnsiTheme="majorHAnsi"/>
          <w:sz w:val="22"/>
          <w:szCs w:val="22"/>
        </w:rPr>
        <w:t>Dranove</w:t>
      </w:r>
      <w:proofErr w:type="spellEnd"/>
      <w:r w:rsidRPr="00206568">
        <w:rPr>
          <w:rFonts w:asciiTheme="majorHAnsi" w:hAnsiTheme="majorHAnsi"/>
          <w:sz w:val="22"/>
          <w:szCs w:val="22"/>
        </w:rPr>
        <w:t xml:space="preserve"> et al, </w:t>
      </w:r>
      <w:r w:rsidRPr="00E22FCD">
        <w:rPr>
          <w:rFonts w:asciiTheme="majorHAnsi" w:hAnsiTheme="majorHAnsi"/>
          <w:i/>
          <w:sz w:val="22"/>
          <w:szCs w:val="22"/>
        </w:rPr>
        <w:t xml:space="preserve">Is More Information Better? </w:t>
      </w:r>
      <w:proofErr w:type="gramStart"/>
      <w:r w:rsidRPr="00E22FCD">
        <w:rPr>
          <w:rFonts w:asciiTheme="majorHAnsi" w:hAnsiTheme="majorHAnsi"/>
          <w:i/>
          <w:sz w:val="22"/>
          <w:szCs w:val="22"/>
        </w:rPr>
        <w:t>The Effects of ‘Report Cards’ on Health Care Providers</w:t>
      </w:r>
      <w:r w:rsidRPr="00206568">
        <w:rPr>
          <w:rFonts w:asciiTheme="majorHAnsi" w:hAnsiTheme="majorHAnsi"/>
          <w:sz w:val="22"/>
          <w:szCs w:val="22"/>
        </w:rPr>
        <w:t>, 111 J. Pol. Econ.</w:t>
      </w:r>
      <w:proofErr w:type="gramEnd"/>
      <w:r w:rsidRPr="00206568">
        <w:rPr>
          <w:rFonts w:asciiTheme="majorHAnsi" w:hAnsiTheme="majorHAnsi"/>
          <w:sz w:val="22"/>
          <w:szCs w:val="22"/>
        </w:rPr>
        <w:t xml:space="preserve"> </w:t>
      </w:r>
      <w:proofErr w:type="gramStart"/>
      <w:r w:rsidRPr="00206568">
        <w:rPr>
          <w:rFonts w:asciiTheme="majorHAnsi" w:hAnsiTheme="majorHAnsi"/>
          <w:sz w:val="22"/>
          <w:szCs w:val="22"/>
        </w:rPr>
        <w:t>555 (2003).</w:t>
      </w:r>
      <w:proofErr w:type="gramEnd"/>
      <w:r w:rsidRPr="00206568">
        <w:rPr>
          <w:rFonts w:asciiTheme="majorHAnsi" w:hAnsiTheme="majorHAnsi"/>
          <w:sz w:val="22"/>
          <w:szCs w:val="22"/>
        </w:rPr>
        <w:t xml:space="preserve"> </w:t>
      </w:r>
    </w:p>
  </w:footnote>
  <w:footnote w:id="34">
    <w:p w14:paraId="671C9D9E"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bCs/>
          <w:sz w:val="22"/>
          <w:szCs w:val="22"/>
          <w:lang w:val="en-IE"/>
        </w:rPr>
        <w:t xml:space="preserve">Samuel R. Bagenstos, </w:t>
      </w:r>
      <w:r w:rsidRPr="00206568">
        <w:rPr>
          <w:rFonts w:asciiTheme="majorHAnsi" w:hAnsiTheme="majorHAnsi"/>
          <w:bCs/>
          <w:i/>
          <w:iCs/>
          <w:sz w:val="22"/>
          <w:szCs w:val="22"/>
          <w:lang w:val="en-IE"/>
        </w:rPr>
        <w:t>“Rational Discrimination,” Accommodation, and the Politics of (Disability) Civil Rights</w:t>
      </w:r>
      <w:r w:rsidRPr="00206568">
        <w:rPr>
          <w:rFonts w:asciiTheme="majorHAnsi" w:hAnsiTheme="majorHAnsi"/>
          <w:bCs/>
          <w:sz w:val="22"/>
          <w:szCs w:val="22"/>
          <w:lang w:val="en-IE"/>
        </w:rPr>
        <w:t>, 89 VA. L. REV. 825, 860 (2003)</w:t>
      </w:r>
      <w:r w:rsidRPr="00206568">
        <w:rPr>
          <w:rFonts w:asciiTheme="majorHAnsi" w:hAnsiTheme="majorHAnsi"/>
          <w:sz w:val="22"/>
          <w:szCs w:val="22"/>
          <w:lang w:val="en-IE"/>
        </w:rPr>
        <w:t xml:space="preserve">. See, generally, </w:t>
      </w:r>
      <w:r w:rsidRPr="00206568">
        <w:rPr>
          <w:rFonts w:asciiTheme="majorHAnsi" w:hAnsiTheme="majorHAnsi"/>
          <w:bCs/>
          <w:sz w:val="22"/>
          <w:szCs w:val="22"/>
          <w:lang w:val="en-IE"/>
        </w:rPr>
        <w:t>Samuel R. Bagenstos,</w:t>
      </w:r>
      <w:r w:rsidRPr="00206568">
        <w:rPr>
          <w:rFonts w:asciiTheme="majorHAnsi" w:hAnsiTheme="majorHAnsi"/>
          <w:bCs/>
          <w:i/>
          <w:iCs/>
          <w:sz w:val="22"/>
          <w:szCs w:val="22"/>
          <w:lang w:val="en-IE"/>
        </w:rPr>
        <w:t xml:space="preserve"> Subordination, Stigma, and Disability</w:t>
      </w:r>
      <w:r w:rsidRPr="00206568">
        <w:rPr>
          <w:rFonts w:asciiTheme="majorHAnsi" w:hAnsiTheme="majorHAnsi"/>
          <w:bCs/>
          <w:sz w:val="22"/>
          <w:szCs w:val="22"/>
          <w:lang w:val="en-IE"/>
        </w:rPr>
        <w:t xml:space="preserve">, 86 </w:t>
      </w:r>
      <w:r w:rsidRPr="00206568">
        <w:rPr>
          <w:rFonts w:asciiTheme="majorHAnsi" w:hAnsiTheme="majorHAnsi"/>
          <w:bCs/>
          <w:smallCaps/>
          <w:sz w:val="22"/>
          <w:szCs w:val="22"/>
          <w:lang w:val="en-IE"/>
        </w:rPr>
        <w:t>Va. L. Rev.</w:t>
      </w:r>
      <w:r w:rsidRPr="00206568">
        <w:rPr>
          <w:rFonts w:asciiTheme="majorHAnsi" w:hAnsiTheme="majorHAnsi"/>
          <w:bCs/>
          <w:sz w:val="22"/>
          <w:szCs w:val="22"/>
          <w:lang w:val="en-IE"/>
        </w:rPr>
        <w:t xml:space="preserve">,  397, 426-30 (2000); </w:t>
      </w:r>
      <w:r w:rsidRPr="00206568">
        <w:rPr>
          <w:rFonts w:asciiTheme="majorHAnsi" w:hAnsiTheme="majorHAnsi"/>
          <w:bCs/>
          <w:i/>
          <w:iCs/>
          <w:sz w:val="22"/>
          <w:szCs w:val="22"/>
          <w:lang w:val="en-IE"/>
        </w:rPr>
        <w:t>US Airways v. Barnett</w:t>
      </w:r>
      <w:r w:rsidRPr="00206568">
        <w:rPr>
          <w:rFonts w:asciiTheme="majorHAnsi" w:hAnsiTheme="majorHAnsi"/>
          <w:bCs/>
          <w:sz w:val="22"/>
          <w:szCs w:val="22"/>
          <w:lang w:val="en-IE"/>
        </w:rPr>
        <w:t>, 535 U.S. 391, 397 (2002).</w:t>
      </w:r>
    </w:p>
  </w:footnote>
  <w:footnote w:id="35">
    <w:p w14:paraId="4FD7AFC8"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gramStart"/>
      <w:r w:rsidRPr="00206568">
        <w:rPr>
          <w:rFonts w:asciiTheme="majorHAnsi" w:hAnsiTheme="majorHAnsi"/>
          <w:sz w:val="22"/>
          <w:szCs w:val="22"/>
        </w:rPr>
        <w:t>29 U.S.C. 701 (b)(1)(F) and (c)(2).</w:t>
      </w:r>
      <w:proofErr w:type="gramEnd"/>
    </w:p>
  </w:footnote>
  <w:footnote w:id="36">
    <w:p w14:paraId="207F6F63" w14:textId="77777777" w:rsidR="00A17686" w:rsidRPr="00206568" w:rsidRDefault="00A17686" w:rsidP="001C7390">
      <w:pPr>
        <w:pStyle w:val="FootnoteText"/>
        <w:spacing w:after="60"/>
        <w:rPr>
          <w:rFonts w:asciiTheme="majorHAnsi" w:hAnsiTheme="majorHAnsi"/>
          <w:b/>
          <w:bCs/>
          <w:sz w:val="22"/>
          <w:szCs w:val="22"/>
        </w:rPr>
      </w:pPr>
      <w:r w:rsidRPr="00206568">
        <w:rPr>
          <w:rStyle w:val="FootnoteReference"/>
          <w:sz w:val="22"/>
          <w:szCs w:val="22"/>
        </w:rPr>
        <w:footnoteRef/>
      </w:r>
      <w:r w:rsidRPr="00206568">
        <w:rPr>
          <w:rFonts w:asciiTheme="majorHAnsi" w:hAnsiTheme="majorHAnsi"/>
          <w:sz w:val="22"/>
          <w:szCs w:val="22"/>
        </w:rPr>
        <w:t xml:space="preserve"> Diane </w:t>
      </w:r>
      <w:proofErr w:type="spellStart"/>
      <w:r w:rsidRPr="00206568">
        <w:rPr>
          <w:rFonts w:asciiTheme="majorHAnsi" w:hAnsiTheme="majorHAnsi"/>
          <w:sz w:val="22"/>
          <w:szCs w:val="22"/>
        </w:rPr>
        <w:t>Rado</w:t>
      </w:r>
      <w:proofErr w:type="spellEnd"/>
      <w:r w:rsidRPr="00206568">
        <w:rPr>
          <w:rFonts w:asciiTheme="majorHAnsi" w:hAnsiTheme="majorHAnsi"/>
          <w:sz w:val="22"/>
          <w:szCs w:val="22"/>
        </w:rPr>
        <w:t xml:space="preserve">, </w:t>
      </w:r>
      <w:r w:rsidRPr="00206568">
        <w:rPr>
          <w:rFonts w:asciiTheme="majorHAnsi" w:hAnsiTheme="majorHAnsi"/>
          <w:bCs/>
          <w:i/>
          <w:sz w:val="22"/>
          <w:szCs w:val="22"/>
        </w:rPr>
        <w:t>Special help starts as early as grade school — but only for select students</w:t>
      </w:r>
      <w:r w:rsidRPr="00206568">
        <w:rPr>
          <w:rFonts w:asciiTheme="majorHAnsi" w:hAnsiTheme="majorHAnsi"/>
          <w:bCs/>
          <w:sz w:val="22"/>
          <w:szCs w:val="22"/>
        </w:rPr>
        <w:t xml:space="preserve">, Chicago Tribune (June 6, 2012), available online at </w:t>
      </w:r>
      <w:hyperlink r:id="rId2" w:history="1">
        <w:r w:rsidRPr="00206568">
          <w:rPr>
            <w:rStyle w:val="Hyperlink"/>
            <w:rFonts w:asciiTheme="majorHAnsi" w:hAnsiTheme="majorHAnsi" w:cs="Times"/>
            <w:sz w:val="22"/>
            <w:szCs w:val="22"/>
          </w:rPr>
          <w:t>www.chicagotribune.com/news/education/ct-met-accommodations-folo-20120606,0,4860162.story</w:t>
        </w:r>
      </w:hyperlink>
      <w:r w:rsidRPr="00206568">
        <w:rPr>
          <w:rFonts w:asciiTheme="majorHAnsi" w:hAnsiTheme="majorHAnsi" w:cs="Times"/>
          <w:color w:val="000000"/>
          <w:sz w:val="22"/>
          <w:szCs w:val="22"/>
        </w:rPr>
        <w:t>. For the full data, see http://www.ed.gov/news/press-releases/new-data-us-department-education-highlights-educational-inequities-around-teache</w:t>
      </w:r>
    </w:p>
  </w:footnote>
  <w:footnote w:id="37">
    <w:p w14:paraId="53E0F9BD"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w:t>
      </w:r>
      <w:r w:rsidRPr="00206568">
        <w:rPr>
          <w:rFonts w:asciiTheme="majorHAnsi" w:hAnsiTheme="majorHAnsi"/>
          <w:i/>
          <w:sz w:val="22"/>
          <w:szCs w:val="22"/>
        </w:rPr>
        <w:t>Symposium on Empirical Studies of Mandatory Arbitration</w:t>
      </w:r>
      <w:r w:rsidRPr="00206568">
        <w:rPr>
          <w:rFonts w:asciiTheme="majorHAnsi" w:hAnsiTheme="majorHAnsi"/>
          <w:sz w:val="22"/>
          <w:szCs w:val="22"/>
        </w:rPr>
        <w:t xml:space="preserve">, 41 Michigan J. L. Reform, </w:t>
      </w:r>
      <w:proofErr w:type="gramStart"/>
      <w:r w:rsidRPr="00206568">
        <w:rPr>
          <w:rFonts w:asciiTheme="majorHAnsi" w:hAnsiTheme="majorHAnsi"/>
          <w:sz w:val="22"/>
          <w:szCs w:val="22"/>
        </w:rPr>
        <w:t>Issue 4</w:t>
      </w:r>
      <w:proofErr w:type="gramEnd"/>
      <w:r w:rsidRPr="00206568">
        <w:rPr>
          <w:rFonts w:asciiTheme="majorHAnsi" w:hAnsiTheme="majorHAnsi"/>
          <w:sz w:val="22"/>
          <w:szCs w:val="22"/>
        </w:rPr>
        <w:t xml:space="preserve"> (2008).</w:t>
      </w:r>
    </w:p>
  </w:footnote>
  <w:footnote w:id="38">
    <w:p w14:paraId="78D99A27" w14:textId="77777777" w:rsidR="00A17686" w:rsidRPr="00206568" w:rsidRDefault="00A17686" w:rsidP="00362778">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generally, Marc </w:t>
      </w:r>
      <w:proofErr w:type="spellStart"/>
      <w:r w:rsidRPr="00206568">
        <w:rPr>
          <w:rFonts w:asciiTheme="majorHAnsi" w:hAnsiTheme="majorHAnsi"/>
          <w:sz w:val="22"/>
          <w:szCs w:val="22"/>
        </w:rPr>
        <w:t>Galanter</w:t>
      </w:r>
      <w:proofErr w:type="spellEnd"/>
      <w:r w:rsidRPr="00206568">
        <w:rPr>
          <w:rFonts w:asciiTheme="majorHAnsi" w:hAnsiTheme="majorHAnsi"/>
          <w:sz w:val="22"/>
          <w:szCs w:val="22"/>
        </w:rPr>
        <w:t xml:space="preserve">, </w:t>
      </w:r>
      <w:r w:rsidRPr="00206568">
        <w:rPr>
          <w:rFonts w:asciiTheme="majorHAnsi" w:hAnsiTheme="majorHAnsi"/>
          <w:i/>
          <w:sz w:val="22"/>
          <w:szCs w:val="22"/>
        </w:rPr>
        <w:t>Why the Haves Come Out Ahead: Speculations on the Limits of Legal Change</w:t>
      </w:r>
      <w:r w:rsidRPr="00206568">
        <w:rPr>
          <w:rFonts w:asciiTheme="majorHAnsi" w:hAnsiTheme="majorHAnsi"/>
          <w:sz w:val="22"/>
          <w:szCs w:val="22"/>
        </w:rPr>
        <w:t>, 9 Law &amp; Society Rev. 95 (1974).</w:t>
      </w:r>
    </w:p>
  </w:footnote>
  <w:footnote w:id="39">
    <w:p w14:paraId="4EFBC9D8"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generally, Alan M. White &amp; Cathy Lesser Mansfield, </w:t>
      </w:r>
      <w:r w:rsidRPr="00206568">
        <w:rPr>
          <w:rFonts w:asciiTheme="majorHAnsi" w:hAnsiTheme="majorHAnsi"/>
          <w:i/>
          <w:iCs/>
          <w:sz w:val="22"/>
          <w:szCs w:val="22"/>
        </w:rPr>
        <w:t>Literacy and Contract</w:t>
      </w:r>
      <w:r w:rsidRPr="00206568">
        <w:rPr>
          <w:rFonts w:asciiTheme="majorHAnsi" w:hAnsiTheme="majorHAnsi"/>
          <w:sz w:val="22"/>
          <w:szCs w:val="22"/>
        </w:rPr>
        <w:t>, 13 Stanford L &amp; Policy Rev 233 (2002).</w:t>
      </w:r>
    </w:p>
  </w:footnote>
  <w:footnote w:id="40">
    <w:p w14:paraId="2C7B5117" w14:textId="77777777" w:rsidR="00A17686" w:rsidRPr="00206568" w:rsidRDefault="00A17686" w:rsidP="001C7390">
      <w:pPr>
        <w:pStyle w:val="FootnoteText"/>
        <w:spacing w:after="60"/>
        <w:jc w:val="both"/>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Alan M. White &amp; </w:t>
      </w:r>
      <w:proofErr w:type="spellStart"/>
      <w:r w:rsidRPr="00206568">
        <w:rPr>
          <w:rFonts w:asciiTheme="majorHAnsi" w:hAnsiTheme="majorHAnsi"/>
          <w:sz w:val="22"/>
          <w:szCs w:val="22"/>
        </w:rPr>
        <w:t>Cath</w:t>
      </w:r>
      <w:proofErr w:type="spellEnd"/>
      <w:r w:rsidRPr="00206568">
        <w:rPr>
          <w:rFonts w:asciiTheme="majorHAnsi" w:hAnsiTheme="majorHAnsi"/>
          <w:sz w:val="22"/>
          <w:szCs w:val="22"/>
        </w:rPr>
        <w:t xml:space="preserve"> Lesser Mansfield, </w:t>
      </w:r>
      <w:r w:rsidRPr="00206568">
        <w:rPr>
          <w:rFonts w:asciiTheme="majorHAnsi" w:hAnsiTheme="majorHAnsi"/>
          <w:i/>
          <w:iCs/>
          <w:sz w:val="22"/>
          <w:szCs w:val="22"/>
        </w:rPr>
        <w:t>Literacy and Contract</w:t>
      </w:r>
      <w:r w:rsidRPr="00206568">
        <w:rPr>
          <w:rFonts w:asciiTheme="majorHAnsi" w:hAnsiTheme="majorHAnsi"/>
          <w:sz w:val="22"/>
          <w:szCs w:val="22"/>
        </w:rPr>
        <w:t>, 13 Stanford L &amp; Policy Rev 233 (2002).</w:t>
      </w:r>
    </w:p>
  </w:footnote>
  <w:footnote w:id="41">
    <w:p w14:paraId="11E2AF3B"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spellStart"/>
      <w:r w:rsidRPr="00206568">
        <w:rPr>
          <w:rFonts w:asciiTheme="majorHAnsi" w:hAnsiTheme="majorHAnsi"/>
          <w:sz w:val="22"/>
          <w:szCs w:val="22"/>
        </w:rPr>
        <w:t>Annamaria</w:t>
      </w:r>
      <w:proofErr w:type="spellEnd"/>
      <w:r w:rsidRPr="00206568">
        <w:rPr>
          <w:rFonts w:asciiTheme="majorHAnsi" w:hAnsiTheme="majorHAnsi"/>
          <w:sz w:val="22"/>
          <w:szCs w:val="22"/>
        </w:rPr>
        <w:t xml:space="preserve"> </w:t>
      </w:r>
      <w:proofErr w:type="spellStart"/>
      <w:r w:rsidRPr="00206568">
        <w:rPr>
          <w:rFonts w:asciiTheme="majorHAnsi" w:hAnsiTheme="majorHAnsi"/>
          <w:sz w:val="22"/>
          <w:szCs w:val="22"/>
        </w:rPr>
        <w:t>Lusardi</w:t>
      </w:r>
      <w:proofErr w:type="spellEnd"/>
      <w:r w:rsidRPr="00206568">
        <w:rPr>
          <w:rFonts w:asciiTheme="majorHAnsi" w:hAnsiTheme="majorHAnsi"/>
          <w:sz w:val="22"/>
          <w:szCs w:val="22"/>
        </w:rPr>
        <w:t xml:space="preserve"> and Olivia Mitchell, </w:t>
      </w:r>
      <w:r w:rsidRPr="00770821">
        <w:rPr>
          <w:rFonts w:asciiTheme="majorHAnsi" w:hAnsiTheme="majorHAnsi"/>
          <w:i/>
          <w:sz w:val="22"/>
          <w:szCs w:val="22"/>
        </w:rPr>
        <w:t>Financial Literacy: Evidence and Implications for Financial Education</w:t>
      </w:r>
      <w:r w:rsidRPr="00206568">
        <w:rPr>
          <w:rFonts w:asciiTheme="majorHAnsi" w:hAnsiTheme="majorHAnsi"/>
          <w:sz w:val="22"/>
          <w:szCs w:val="22"/>
        </w:rPr>
        <w:t xml:space="preserve">, TIAA-CREF INSTITUTE TRENDS AND ISSUES </w:t>
      </w:r>
      <w:proofErr w:type="gramStart"/>
      <w:r w:rsidRPr="00206568">
        <w:rPr>
          <w:rFonts w:asciiTheme="majorHAnsi" w:hAnsiTheme="majorHAnsi"/>
          <w:sz w:val="22"/>
          <w:szCs w:val="22"/>
        </w:rPr>
        <w:t>MAY,</w:t>
      </w:r>
      <w:proofErr w:type="gramEnd"/>
      <w:r w:rsidRPr="00206568">
        <w:rPr>
          <w:rFonts w:asciiTheme="majorHAnsi" w:hAnsiTheme="majorHAnsi"/>
          <w:sz w:val="22"/>
          <w:szCs w:val="22"/>
        </w:rPr>
        <w:t xml:space="preserve"> 3 (2009).</w:t>
      </w:r>
    </w:p>
  </w:footnote>
  <w:footnote w:id="42">
    <w:p w14:paraId="40693609" w14:textId="77777777" w:rsidR="00A17686" w:rsidRPr="00206568" w:rsidRDefault="00A17686" w:rsidP="001C7390">
      <w:pPr>
        <w:pStyle w:val="FootnoteText"/>
        <w:spacing w:after="60"/>
        <w:jc w:val="both"/>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Lisa M. Schwartz et al,</w:t>
      </w:r>
      <w:r w:rsidRPr="00206568">
        <w:rPr>
          <w:rFonts w:asciiTheme="majorHAnsi" w:hAnsiTheme="majorHAnsi"/>
          <w:i/>
          <w:iCs/>
          <w:sz w:val="22"/>
          <w:szCs w:val="22"/>
        </w:rPr>
        <w:t xml:space="preserve"> The Role of Numeracy in Understanding the Benefit of Screening Mammography,</w:t>
      </w:r>
      <w:r w:rsidRPr="00206568">
        <w:rPr>
          <w:rFonts w:asciiTheme="majorHAnsi" w:hAnsiTheme="majorHAnsi"/>
          <w:sz w:val="22"/>
          <w:szCs w:val="22"/>
        </w:rPr>
        <w:t xml:space="preserve"> 127 Annals of Internal Medicine 966 (1997).  </w:t>
      </w:r>
    </w:p>
  </w:footnote>
  <w:footnote w:id="43">
    <w:p w14:paraId="1F4ADBAD" w14:textId="77777777" w:rsidR="00A17686" w:rsidRPr="00206568" w:rsidRDefault="00A17686" w:rsidP="00362778">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National Center for Education Statistics, </w:t>
      </w:r>
      <w:r w:rsidRPr="00206568">
        <w:rPr>
          <w:rFonts w:asciiTheme="majorHAnsi" w:hAnsiTheme="majorHAnsi"/>
          <w:i/>
          <w:iCs/>
          <w:sz w:val="22"/>
          <w:szCs w:val="22"/>
        </w:rPr>
        <w:t>Literacy in Everyday Life:  Results From the 2003 National Assessment of Adult Literacy</w:t>
      </w:r>
      <w:r w:rsidRPr="00206568">
        <w:rPr>
          <w:rFonts w:asciiTheme="majorHAnsi" w:hAnsiTheme="majorHAnsi"/>
          <w:sz w:val="22"/>
          <w:szCs w:val="22"/>
        </w:rPr>
        <w:t xml:space="preserve"> (US </w:t>
      </w:r>
      <w:proofErr w:type="spellStart"/>
      <w:r w:rsidRPr="00206568">
        <w:rPr>
          <w:rFonts w:asciiTheme="majorHAnsi" w:hAnsiTheme="majorHAnsi"/>
          <w:sz w:val="22"/>
          <w:szCs w:val="22"/>
        </w:rPr>
        <w:t>Dept</w:t>
      </w:r>
      <w:proofErr w:type="spellEnd"/>
      <w:r w:rsidRPr="00206568">
        <w:rPr>
          <w:rFonts w:asciiTheme="majorHAnsi" w:hAnsiTheme="majorHAnsi"/>
          <w:sz w:val="22"/>
          <w:szCs w:val="22"/>
        </w:rPr>
        <w:t xml:space="preserve"> of Education, 2007).</w:t>
      </w:r>
    </w:p>
  </w:footnote>
  <w:footnote w:id="44">
    <w:p w14:paraId="15DA3E9D" w14:textId="77777777" w:rsidR="00A17686" w:rsidRPr="00206568" w:rsidRDefault="00A17686" w:rsidP="00362778">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Alan M. White and Cathy Lesser Mansfield, </w:t>
      </w:r>
      <w:r w:rsidRPr="00770821">
        <w:rPr>
          <w:rFonts w:asciiTheme="majorHAnsi" w:hAnsiTheme="majorHAnsi"/>
          <w:i/>
          <w:sz w:val="22"/>
          <w:szCs w:val="22"/>
        </w:rPr>
        <w:t>Literacy and Contract</w:t>
      </w:r>
      <w:r w:rsidRPr="00206568">
        <w:rPr>
          <w:rFonts w:asciiTheme="majorHAnsi" w:hAnsiTheme="majorHAnsi"/>
          <w:sz w:val="22"/>
          <w:szCs w:val="22"/>
        </w:rPr>
        <w:t xml:space="preserve">, 13 Stan. L. &amp; </w:t>
      </w:r>
      <w:proofErr w:type="spellStart"/>
      <w:r w:rsidRPr="00206568">
        <w:rPr>
          <w:rFonts w:asciiTheme="majorHAnsi" w:hAnsiTheme="majorHAnsi"/>
          <w:sz w:val="22"/>
          <w:szCs w:val="22"/>
        </w:rPr>
        <w:t>Pol’y</w:t>
      </w:r>
      <w:proofErr w:type="spellEnd"/>
      <w:r w:rsidRPr="00206568">
        <w:rPr>
          <w:rFonts w:asciiTheme="majorHAnsi" w:hAnsiTheme="majorHAnsi"/>
          <w:sz w:val="22"/>
          <w:szCs w:val="22"/>
        </w:rPr>
        <w:t xml:space="preserve"> Rev. 233, 239 (2002) (the "literacy required to comprehend the average disclosure form and key contract terms simply is not within the reach of the majority of American adults.”)</w:t>
      </w:r>
    </w:p>
  </w:footnote>
  <w:footnote w:id="45">
    <w:p w14:paraId="70A0BA70"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For example, low-income parents are more “fatalistic” about children’s exposure to hazards and less influenced by safety warnings, even though the children are disproportionately exposed to these hazards. See K</w:t>
      </w:r>
      <w:r w:rsidR="00770821">
        <w:rPr>
          <w:rFonts w:asciiTheme="majorHAnsi" w:hAnsiTheme="majorHAnsi"/>
          <w:sz w:val="22"/>
          <w:szCs w:val="22"/>
        </w:rPr>
        <w:t>lein, Social Influences on Chil</w:t>
      </w:r>
      <w:r w:rsidRPr="00206568">
        <w:rPr>
          <w:rFonts w:asciiTheme="majorHAnsi" w:hAnsiTheme="majorHAnsi"/>
          <w:sz w:val="22"/>
          <w:szCs w:val="22"/>
        </w:rPr>
        <w:t>d Accidents, 12 Accident Analysis &amp; Prevention 275 (1980).</w:t>
      </w:r>
    </w:p>
  </w:footnote>
  <w:footnote w:id="46">
    <w:p w14:paraId="611D5DBC"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Mark C. </w:t>
      </w:r>
      <w:proofErr w:type="spellStart"/>
      <w:r w:rsidRPr="00206568">
        <w:rPr>
          <w:rFonts w:asciiTheme="majorHAnsi" w:hAnsiTheme="majorHAnsi"/>
          <w:sz w:val="22"/>
          <w:szCs w:val="22"/>
        </w:rPr>
        <w:t>Weidemaier</w:t>
      </w:r>
      <w:proofErr w:type="spellEnd"/>
      <w:r w:rsidRPr="00206568">
        <w:rPr>
          <w:rFonts w:asciiTheme="majorHAnsi" w:hAnsiTheme="majorHAnsi"/>
          <w:sz w:val="22"/>
          <w:szCs w:val="22"/>
        </w:rPr>
        <w:t xml:space="preserve">, </w:t>
      </w:r>
      <w:r w:rsidRPr="00206568">
        <w:rPr>
          <w:rFonts w:asciiTheme="majorHAnsi" w:hAnsiTheme="majorHAnsi"/>
          <w:i/>
          <w:sz w:val="22"/>
          <w:szCs w:val="22"/>
        </w:rPr>
        <w:t>From Court-Surrogate to Regulatory Tool: Re-Framing the Empirical Study of Employment Arbitration</w:t>
      </w:r>
      <w:r w:rsidRPr="00206568">
        <w:rPr>
          <w:rFonts w:asciiTheme="majorHAnsi" w:hAnsiTheme="majorHAnsi"/>
          <w:sz w:val="22"/>
          <w:szCs w:val="22"/>
        </w:rPr>
        <w:t>, 41 Michigan J. L. Reform 843, 855 (2008).</w:t>
      </w:r>
    </w:p>
  </w:footnote>
  <w:footnote w:id="47">
    <w:p w14:paraId="3EA1E9A9"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Lewis L. </w:t>
      </w:r>
      <w:proofErr w:type="spellStart"/>
      <w:r w:rsidRPr="00206568">
        <w:rPr>
          <w:rFonts w:asciiTheme="majorHAnsi" w:hAnsiTheme="majorHAnsi"/>
          <w:sz w:val="22"/>
          <w:szCs w:val="22"/>
        </w:rPr>
        <w:t>Maltby</w:t>
      </w:r>
      <w:proofErr w:type="spellEnd"/>
      <w:r w:rsidRPr="00206568">
        <w:rPr>
          <w:rFonts w:asciiTheme="majorHAnsi" w:hAnsiTheme="majorHAnsi"/>
          <w:sz w:val="22"/>
          <w:szCs w:val="22"/>
        </w:rPr>
        <w:t xml:space="preserve">, </w:t>
      </w:r>
      <w:r w:rsidRPr="00206568">
        <w:rPr>
          <w:rFonts w:asciiTheme="majorHAnsi" w:hAnsiTheme="majorHAnsi"/>
          <w:i/>
          <w:sz w:val="22"/>
          <w:szCs w:val="22"/>
        </w:rPr>
        <w:t>Private Justice: Employment Arbitration and Civil Rights</w:t>
      </w:r>
      <w:r w:rsidRPr="00206568">
        <w:rPr>
          <w:rFonts w:asciiTheme="majorHAnsi" w:hAnsiTheme="majorHAnsi"/>
          <w:sz w:val="22"/>
          <w:szCs w:val="22"/>
        </w:rPr>
        <w:t xml:space="preserve">, 30 Colum. Hum. </w:t>
      </w:r>
      <w:proofErr w:type="spellStart"/>
      <w:r w:rsidRPr="00206568">
        <w:rPr>
          <w:rFonts w:asciiTheme="majorHAnsi" w:hAnsiTheme="majorHAnsi"/>
          <w:sz w:val="22"/>
          <w:szCs w:val="22"/>
        </w:rPr>
        <w:t>Rts</w:t>
      </w:r>
      <w:proofErr w:type="spellEnd"/>
      <w:r w:rsidRPr="00206568">
        <w:rPr>
          <w:rFonts w:asciiTheme="majorHAnsi" w:hAnsiTheme="majorHAnsi"/>
          <w:sz w:val="22"/>
          <w:szCs w:val="22"/>
        </w:rPr>
        <w:t xml:space="preserve">. L. Rev. 29, 58 (1998); William M. Howard, </w:t>
      </w:r>
      <w:r w:rsidRPr="00206568">
        <w:rPr>
          <w:rFonts w:asciiTheme="majorHAnsi" w:hAnsiTheme="majorHAnsi"/>
          <w:i/>
          <w:sz w:val="22"/>
          <w:szCs w:val="22"/>
        </w:rPr>
        <w:t>Arbitrating Claims of Employment Discrimination: What Really Does Happen? What Really Should Happen</w:t>
      </w:r>
      <w:proofErr w:type="gramStart"/>
      <w:r w:rsidRPr="00206568">
        <w:rPr>
          <w:rFonts w:asciiTheme="majorHAnsi" w:hAnsiTheme="majorHAnsi"/>
          <w:i/>
          <w:sz w:val="22"/>
          <w:szCs w:val="22"/>
        </w:rPr>
        <w:t>?</w:t>
      </w:r>
      <w:r w:rsidRPr="00206568">
        <w:rPr>
          <w:rFonts w:asciiTheme="majorHAnsi" w:hAnsiTheme="majorHAnsi"/>
          <w:sz w:val="22"/>
          <w:szCs w:val="22"/>
        </w:rPr>
        <w:t>,</w:t>
      </w:r>
      <w:proofErr w:type="gramEnd"/>
      <w:r w:rsidRPr="00206568">
        <w:rPr>
          <w:rFonts w:asciiTheme="majorHAnsi" w:hAnsiTheme="majorHAnsi"/>
          <w:sz w:val="22"/>
          <w:szCs w:val="22"/>
        </w:rPr>
        <w:t xml:space="preserve"> 50 Disp. </w:t>
      </w:r>
      <w:proofErr w:type="spellStart"/>
      <w:r w:rsidRPr="00206568">
        <w:rPr>
          <w:rFonts w:asciiTheme="majorHAnsi" w:hAnsiTheme="majorHAnsi"/>
          <w:sz w:val="22"/>
          <w:szCs w:val="22"/>
        </w:rPr>
        <w:t>Resol</w:t>
      </w:r>
      <w:proofErr w:type="spellEnd"/>
      <w:r w:rsidRPr="00206568">
        <w:rPr>
          <w:rFonts w:asciiTheme="majorHAnsi" w:hAnsiTheme="majorHAnsi"/>
          <w:sz w:val="22"/>
          <w:szCs w:val="22"/>
        </w:rPr>
        <w:t xml:space="preserve">. </w:t>
      </w:r>
      <w:proofErr w:type="gramStart"/>
      <w:r w:rsidRPr="00206568">
        <w:rPr>
          <w:rFonts w:asciiTheme="majorHAnsi" w:hAnsiTheme="majorHAnsi"/>
          <w:sz w:val="22"/>
          <w:szCs w:val="22"/>
        </w:rPr>
        <w:t>J. ,</w:t>
      </w:r>
      <w:proofErr w:type="gramEnd"/>
      <w:r w:rsidRPr="00206568">
        <w:rPr>
          <w:rFonts w:asciiTheme="majorHAnsi" w:hAnsiTheme="majorHAnsi"/>
          <w:sz w:val="22"/>
          <w:szCs w:val="22"/>
        </w:rPr>
        <w:t xml:space="preserve"> Oct.-Dec. 1995, at 40, 45.</w:t>
      </w:r>
    </w:p>
  </w:footnote>
  <w:footnote w:id="48">
    <w:p w14:paraId="648DD59A"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spellStart"/>
      <w:r w:rsidRPr="00206568">
        <w:rPr>
          <w:rFonts w:asciiTheme="majorHAnsi" w:hAnsiTheme="majorHAnsi"/>
          <w:sz w:val="22"/>
          <w:szCs w:val="22"/>
        </w:rPr>
        <w:t>Widemaier</w:t>
      </w:r>
      <w:proofErr w:type="spellEnd"/>
      <w:r w:rsidRPr="00206568">
        <w:rPr>
          <w:rFonts w:asciiTheme="majorHAnsi" w:hAnsiTheme="majorHAnsi"/>
          <w:sz w:val="22"/>
          <w:szCs w:val="22"/>
        </w:rPr>
        <w:t xml:space="preserve">, supra note </w:t>
      </w:r>
      <w:r w:rsidRPr="00206568">
        <w:rPr>
          <w:rFonts w:asciiTheme="majorHAnsi" w:hAnsiTheme="majorHAnsi"/>
          <w:sz w:val="22"/>
          <w:szCs w:val="22"/>
        </w:rPr>
        <w:fldChar w:fldCharType="begin"/>
      </w:r>
      <w:r w:rsidRPr="00206568">
        <w:rPr>
          <w:rFonts w:asciiTheme="majorHAnsi" w:hAnsiTheme="majorHAnsi"/>
          <w:sz w:val="22"/>
          <w:szCs w:val="22"/>
        </w:rPr>
        <w:instrText xml:space="preserve"> NOTEREF _Ref208567286 \h </w:instrText>
      </w:r>
      <w:r w:rsidRPr="00206568">
        <w:rPr>
          <w:rFonts w:asciiTheme="majorHAnsi" w:hAnsiTheme="majorHAnsi"/>
          <w:sz w:val="22"/>
          <w:szCs w:val="22"/>
        </w:rPr>
      </w:r>
      <w:r w:rsidRPr="00206568">
        <w:rPr>
          <w:rFonts w:asciiTheme="majorHAnsi" w:hAnsiTheme="majorHAnsi"/>
          <w:sz w:val="22"/>
          <w:szCs w:val="22"/>
        </w:rPr>
        <w:fldChar w:fldCharType="separate"/>
      </w:r>
      <w:r w:rsidRPr="00206568">
        <w:rPr>
          <w:rFonts w:asciiTheme="majorHAnsi" w:hAnsiTheme="majorHAnsi"/>
          <w:sz w:val="22"/>
          <w:szCs w:val="22"/>
        </w:rPr>
        <w:t>45</w:t>
      </w:r>
      <w:r w:rsidRPr="00206568">
        <w:rPr>
          <w:rFonts w:asciiTheme="majorHAnsi" w:hAnsiTheme="majorHAnsi"/>
          <w:sz w:val="22"/>
          <w:szCs w:val="22"/>
        </w:rPr>
        <w:fldChar w:fldCharType="end"/>
      </w:r>
      <w:r w:rsidRPr="00206568">
        <w:rPr>
          <w:rFonts w:asciiTheme="majorHAnsi" w:hAnsiTheme="majorHAnsi"/>
          <w:sz w:val="22"/>
          <w:szCs w:val="22"/>
        </w:rPr>
        <w:t>, at 846.</w:t>
      </w:r>
    </w:p>
  </w:footnote>
  <w:footnote w:id="49">
    <w:p w14:paraId="304873A6"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Christopher </w:t>
      </w:r>
      <w:proofErr w:type="spellStart"/>
      <w:r w:rsidRPr="00206568">
        <w:rPr>
          <w:rFonts w:asciiTheme="majorHAnsi" w:hAnsiTheme="majorHAnsi"/>
          <w:sz w:val="22"/>
          <w:szCs w:val="22"/>
        </w:rPr>
        <w:t>Drahozal</w:t>
      </w:r>
      <w:proofErr w:type="spellEnd"/>
      <w:r w:rsidRPr="00206568">
        <w:rPr>
          <w:rFonts w:asciiTheme="majorHAnsi" w:hAnsiTheme="majorHAnsi"/>
          <w:sz w:val="22"/>
          <w:szCs w:val="22"/>
        </w:rPr>
        <w:t xml:space="preserve">, </w:t>
      </w:r>
      <w:r w:rsidRPr="00206568">
        <w:rPr>
          <w:rFonts w:asciiTheme="majorHAnsi" w:hAnsiTheme="majorHAnsi"/>
          <w:i/>
          <w:sz w:val="22"/>
          <w:szCs w:val="22"/>
        </w:rPr>
        <w:t>Arbitration Costs and Forum Accessibility: Empirical Evidence</w:t>
      </w:r>
      <w:r w:rsidRPr="00206568">
        <w:rPr>
          <w:rFonts w:asciiTheme="majorHAnsi" w:hAnsiTheme="majorHAnsi"/>
          <w:sz w:val="22"/>
          <w:szCs w:val="22"/>
        </w:rPr>
        <w:t>, 41 Mich. J. L. Reform 813, 831 (2008).</w:t>
      </w:r>
    </w:p>
  </w:footnote>
  <w:footnote w:id="50">
    <w:p w14:paraId="66898710"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Uri Weiss, </w:t>
      </w:r>
      <w:r w:rsidRPr="00206568">
        <w:rPr>
          <w:rFonts w:asciiTheme="majorHAnsi" w:hAnsiTheme="majorHAnsi"/>
          <w:i/>
          <w:sz w:val="22"/>
          <w:szCs w:val="22"/>
        </w:rPr>
        <w:t>The Regressive Effect of Legal Uncertainty</w:t>
      </w:r>
      <w:r w:rsidRPr="00206568">
        <w:rPr>
          <w:rFonts w:asciiTheme="majorHAnsi" w:hAnsiTheme="majorHAnsi"/>
          <w:sz w:val="22"/>
          <w:szCs w:val="22"/>
        </w:rPr>
        <w:t xml:space="preserve"> (unpublished manuscript, 2005). </w:t>
      </w:r>
    </w:p>
  </w:footnote>
  <w:footnote w:id="51">
    <w:p w14:paraId="450F4FE6"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Nancy Ammon </w:t>
      </w:r>
      <w:proofErr w:type="spellStart"/>
      <w:r w:rsidRPr="00206568">
        <w:rPr>
          <w:rFonts w:asciiTheme="majorHAnsi" w:hAnsiTheme="majorHAnsi"/>
          <w:sz w:val="22"/>
          <w:szCs w:val="22"/>
        </w:rPr>
        <w:t>Jianakoplos</w:t>
      </w:r>
      <w:proofErr w:type="spellEnd"/>
      <w:r w:rsidRPr="00206568">
        <w:rPr>
          <w:rFonts w:asciiTheme="majorHAnsi" w:hAnsiTheme="majorHAnsi"/>
          <w:sz w:val="22"/>
          <w:szCs w:val="22"/>
        </w:rPr>
        <w:t xml:space="preserve"> and Alexandra </w:t>
      </w:r>
      <w:proofErr w:type="spellStart"/>
      <w:r w:rsidRPr="00206568">
        <w:rPr>
          <w:rFonts w:asciiTheme="majorHAnsi" w:hAnsiTheme="majorHAnsi"/>
          <w:sz w:val="22"/>
          <w:szCs w:val="22"/>
        </w:rPr>
        <w:t>Bernasek</w:t>
      </w:r>
      <w:proofErr w:type="spellEnd"/>
      <w:r w:rsidRPr="00206568">
        <w:rPr>
          <w:rFonts w:asciiTheme="majorHAnsi" w:hAnsiTheme="majorHAnsi"/>
          <w:sz w:val="22"/>
          <w:szCs w:val="22"/>
        </w:rPr>
        <w:t xml:space="preserve">, </w:t>
      </w:r>
      <w:r w:rsidRPr="00206568">
        <w:rPr>
          <w:rFonts w:asciiTheme="majorHAnsi" w:hAnsiTheme="majorHAnsi"/>
          <w:i/>
          <w:iCs/>
          <w:sz w:val="22"/>
          <w:szCs w:val="22"/>
        </w:rPr>
        <w:t>Are Women More Risk Averse</w:t>
      </w:r>
      <w:proofErr w:type="gramStart"/>
      <w:r w:rsidRPr="00206568">
        <w:rPr>
          <w:rFonts w:asciiTheme="majorHAnsi" w:hAnsiTheme="majorHAnsi"/>
          <w:i/>
          <w:iCs/>
          <w:sz w:val="22"/>
          <w:szCs w:val="22"/>
        </w:rPr>
        <w:t>?</w:t>
      </w:r>
      <w:r w:rsidRPr="00206568">
        <w:rPr>
          <w:rFonts w:asciiTheme="majorHAnsi" w:hAnsiTheme="majorHAnsi"/>
          <w:iCs/>
          <w:sz w:val="22"/>
          <w:szCs w:val="22"/>
        </w:rPr>
        <w:t>,</w:t>
      </w:r>
      <w:proofErr w:type="gramEnd"/>
      <w:r w:rsidRPr="00206568">
        <w:rPr>
          <w:rFonts w:asciiTheme="majorHAnsi" w:hAnsiTheme="majorHAnsi"/>
          <w:i/>
          <w:iCs/>
          <w:sz w:val="22"/>
          <w:szCs w:val="22"/>
        </w:rPr>
        <w:t xml:space="preserve"> </w:t>
      </w:r>
      <w:r w:rsidRPr="00206568">
        <w:rPr>
          <w:rFonts w:asciiTheme="majorHAnsi" w:hAnsiTheme="majorHAnsi"/>
          <w:sz w:val="22"/>
          <w:szCs w:val="22"/>
        </w:rPr>
        <w:t xml:space="preserve">36 Economic Inquiry 620 (1998); M. Levy et al. </w:t>
      </w:r>
      <w:r w:rsidRPr="00206568">
        <w:rPr>
          <w:rFonts w:asciiTheme="majorHAnsi" w:hAnsiTheme="majorHAnsi"/>
          <w:i/>
          <w:sz w:val="22"/>
          <w:szCs w:val="22"/>
        </w:rPr>
        <w:t>Microscopic Simulation of Financial Markets: From Investor Behavior to Market Phenomena</w:t>
      </w:r>
      <w:r w:rsidRPr="00206568">
        <w:rPr>
          <w:rFonts w:asciiTheme="majorHAnsi" w:hAnsiTheme="majorHAnsi"/>
          <w:sz w:val="22"/>
          <w:szCs w:val="22"/>
        </w:rPr>
        <w:t xml:space="preserve"> (2000).  </w:t>
      </w:r>
    </w:p>
  </w:footnote>
  <w:footnote w:id="52">
    <w:p w14:paraId="7778F149"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Theodore Eisenberg &amp; Elizabeth Hill, </w:t>
      </w:r>
      <w:r w:rsidRPr="00206568">
        <w:rPr>
          <w:rFonts w:asciiTheme="majorHAnsi" w:hAnsiTheme="majorHAnsi"/>
          <w:i/>
          <w:sz w:val="22"/>
          <w:szCs w:val="22"/>
        </w:rPr>
        <w:t>Arbitration and Litigation of Employment Claims: An Empirical Comparison</w:t>
      </w:r>
      <w:r w:rsidRPr="00206568">
        <w:rPr>
          <w:rFonts w:asciiTheme="majorHAnsi" w:hAnsiTheme="majorHAnsi"/>
          <w:sz w:val="22"/>
          <w:szCs w:val="22"/>
        </w:rPr>
        <w:t xml:space="preserve">, Disp. </w:t>
      </w:r>
      <w:proofErr w:type="spellStart"/>
      <w:r w:rsidRPr="00206568">
        <w:rPr>
          <w:rFonts w:asciiTheme="majorHAnsi" w:hAnsiTheme="majorHAnsi"/>
          <w:sz w:val="22"/>
          <w:szCs w:val="22"/>
        </w:rPr>
        <w:t>Resol</w:t>
      </w:r>
      <w:proofErr w:type="spellEnd"/>
      <w:r w:rsidRPr="00206568">
        <w:rPr>
          <w:rFonts w:asciiTheme="majorHAnsi" w:hAnsiTheme="majorHAnsi"/>
          <w:sz w:val="22"/>
          <w:szCs w:val="22"/>
        </w:rPr>
        <w:t xml:space="preserve">. J., Nov. 2003–Jan. 2004, at 44, 45; see also Elizabeth Hill, </w:t>
      </w:r>
      <w:r w:rsidRPr="00206568">
        <w:rPr>
          <w:rFonts w:asciiTheme="majorHAnsi" w:hAnsiTheme="majorHAnsi"/>
          <w:i/>
          <w:sz w:val="22"/>
          <w:szCs w:val="22"/>
        </w:rPr>
        <w:t>Due Process at Low Cost: An Empirical Study of Employment Arbitration Under the Auspices of the American Arbitration Association</w:t>
      </w:r>
      <w:r w:rsidRPr="00206568">
        <w:rPr>
          <w:rFonts w:asciiTheme="majorHAnsi" w:hAnsiTheme="majorHAnsi"/>
          <w:sz w:val="22"/>
          <w:szCs w:val="22"/>
        </w:rPr>
        <w:t xml:space="preserve">, 18 Ohio St. J. on Disp. </w:t>
      </w:r>
      <w:proofErr w:type="spellStart"/>
      <w:r w:rsidRPr="00206568">
        <w:rPr>
          <w:rFonts w:asciiTheme="majorHAnsi" w:hAnsiTheme="majorHAnsi"/>
          <w:sz w:val="22"/>
          <w:szCs w:val="22"/>
        </w:rPr>
        <w:t>Resol</w:t>
      </w:r>
      <w:proofErr w:type="spellEnd"/>
      <w:r w:rsidRPr="00206568">
        <w:rPr>
          <w:rFonts w:asciiTheme="majorHAnsi" w:hAnsiTheme="majorHAnsi"/>
          <w:sz w:val="22"/>
          <w:szCs w:val="22"/>
        </w:rPr>
        <w:t xml:space="preserve">. </w:t>
      </w:r>
      <w:proofErr w:type="gramStart"/>
      <w:r w:rsidRPr="00206568">
        <w:rPr>
          <w:rFonts w:asciiTheme="majorHAnsi" w:hAnsiTheme="majorHAnsi"/>
          <w:sz w:val="22"/>
          <w:szCs w:val="22"/>
        </w:rPr>
        <w:t>777, 798, 812 (2003).</w:t>
      </w:r>
      <w:proofErr w:type="gramEnd"/>
    </w:p>
  </w:footnote>
  <w:footnote w:id="53">
    <w:p w14:paraId="75CD6957"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Elizabeth Hill, </w:t>
      </w:r>
      <w:r w:rsidRPr="00206568">
        <w:rPr>
          <w:rFonts w:asciiTheme="majorHAnsi" w:hAnsiTheme="majorHAnsi"/>
          <w:i/>
          <w:sz w:val="22"/>
          <w:szCs w:val="22"/>
        </w:rPr>
        <w:t>AAA Employment Arbitration: A Fair Forum at Low Cost</w:t>
      </w:r>
      <w:r w:rsidRPr="00206568">
        <w:rPr>
          <w:rFonts w:asciiTheme="majorHAnsi" w:hAnsiTheme="majorHAnsi"/>
          <w:sz w:val="22"/>
          <w:szCs w:val="22"/>
        </w:rPr>
        <w:t xml:space="preserve">, 58 Disp. </w:t>
      </w:r>
      <w:proofErr w:type="spellStart"/>
      <w:r w:rsidRPr="00206568">
        <w:rPr>
          <w:rFonts w:asciiTheme="majorHAnsi" w:hAnsiTheme="majorHAnsi"/>
          <w:sz w:val="22"/>
          <w:szCs w:val="22"/>
        </w:rPr>
        <w:t>Resol</w:t>
      </w:r>
      <w:proofErr w:type="spellEnd"/>
      <w:r w:rsidRPr="00206568">
        <w:rPr>
          <w:rFonts w:asciiTheme="majorHAnsi" w:hAnsiTheme="majorHAnsi"/>
          <w:sz w:val="22"/>
          <w:szCs w:val="22"/>
        </w:rPr>
        <w:t>. J., May-Jul 2003, at 8, 10-11.</w:t>
      </w:r>
    </w:p>
  </w:footnote>
  <w:footnote w:id="54">
    <w:p w14:paraId="644F1721"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e.g., Theodore J. St. Antoine, </w:t>
      </w:r>
      <w:r w:rsidRPr="00206568">
        <w:rPr>
          <w:rFonts w:asciiTheme="majorHAnsi" w:hAnsiTheme="majorHAnsi"/>
          <w:i/>
          <w:sz w:val="22"/>
          <w:szCs w:val="22"/>
        </w:rPr>
        <w:t>Mandatory Arbitration: Why It’s Better than It Looks</w:t>
      </w:r>
      <w:r w:rsidRPr="00206568">
        <w:rPr>
          <w:rFonts w:asciiTheme="majorHAnsi" w:hAnsiTheme="majorHAnsi"/>
          <w:sz w:val="22"/>
          <w:szCs w:val="22"/>
        </w:rPr>
        <w:t xml:space="preserve">, 41 Michigan J. </w:t>
      </w:r>
      <w:proofErr w:type="gramStart"/>
      <w:r w:rsidRPr="00206568">
        <w:rPr>
          <w:rFonts w:asciiTheme="majorHAnsi" w:hAnsiTheme="majorHAnsi"/>
          <w:sz w:val="22"/>
          <w:szCs w:val="22"/>
        </w:rPr>
        <w:t>L .</w:t>
      </w:r>
      <w:proofErr w:type="gramEnd"/>
      <w:r w:rsidRPr="00206568">
        <w:rPr>
          <w:rFonts w:asciiTheme="majorHAnsi" w:hAnsiTheme="majorHAnsi"/>
          <w:sz w:val="22"/>
          <w:szCs w:val="22"/>
        </w:rPr>
        <w:t xml:space="preserve"> </w:t>
      </w:r>
      <w:proofErr w:type="gramStart"/>
      <w:r w:rsidRPr="00206568">
        <w:rPr>
          <w:rFonts w:asciiTheme="majorHAnsi" w:hAnsiTheme="majorHAnsi"/>
          <w:sz w:val="22"/>
          <w:szCs w:val="22"/>
        </w:rPr>
        <w:t>Reform 783, 790 (2008).</w:t>
      </w:r>
      <w:proofErr w:type="gramEnd"/>
      <w:r w:rsidRPr="00206568">
        <w:rPr>
          <w:rFonts w:asciiTheme="majorHAnsi" w:hAnsiTheme="majorHAnsi"/>
          <w:sz w:val="22"/>
          <w:szCs w:val="22"/>
        </w:rPr>
        <w:t xml:space="preserve"> </w:t>
      </w:r>
    </w:p>
  </w:footnote>
  <w:footnote w:id="55">
    <w:p w14:paraId="493735D0"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i/>
          <w:sz w:val="22"/>
          <w:szCs w:val="22"/>
        </w:rPr>
        <w:t>Id.</w:t>
      </w:r>
      <w:r w:rsidRPr="00206568">
        <w:rPr>
          <w:rFonts w:asciiTheme="majorHAnsi" w:hAnsiTheme="majorHAnsi"/>
          <w:sz w:val="22"/>
          <w:szCs w:val="22"/>
        </w:rPr>
        <w:t>, at 789 (“the history recounted above indicates that employers’ resort to mandatory arbitration in the 1980s was triggered far more by the size of jury verdicts and the cost of litigation than by effort to stymie union organizations.”)</w:t>
      </w:r>
    </w:p>
  </w:footnote>
  <w:footnote w:id="56">
    <w:p w14:paraId="66184AD2" w14:textId="77777777" w:rsidR="00A17686" w:rsidRPr="00206568" w:rsidRDefault="00A17686" w:rsidP="001C7390">
      <w:pPr>
        <w:pStyle w:val="FootnoteText"/>
        <w:spacing w:after="60"/>
        <w:rPr>
          <w:rFonts w:asciiTheme="majorHAnsi" w:hAnsiTheme="majorHAnsi"/>
          <w:i/>
          <w:sz w:val="22"/>
          <w:szCs w:val="22"/>
        </w:rPr>
      </w:pPr>
      <w:r w:rsidRPr="00206568">
        <w:rPr>
          <w:rStyle w:val="FootnoteReference"/>
          <w:sz w:val="22"/>
          <w:szCs w:val="22"/>
        </w:rPr>
        <w:footnoteRef/>
      </w:r>
      <w:r w:rsidRPr="00206568">
        <w:rPr>
          <w:rFonts w:asciiTheme="majorHAnsi" w:hAnsiTheme="majorHAnsi"/>
          <w:sz w:val="22"/>
          <w:szCs w:val="22"/>
        </w:rPr>
        <w:t xml:space="preserve"> Octavio </w:t>
      </w:r>
      <w:proofErr w:type="spellStart"/>
      <w:r w:rsidRPr="00206568">
        <w:rPr>
          <w:rFonts w:asciiTheme="majorHAnsi" w:hAnsiTheme="majorHAnsi"/>
          <w:sz w:val="22"/>
          <w:szCs w:val="22"/>
        </w:rPr>
        <w:t>Luiz</w:t>
      </w:r>
      <w:proofErr w:type="spellEnd"/>
      <w:r w:rsidRPr="00206568">
        <w:rPr>
          <w:rFonts w:asciiTheme="majorHAnsi" w:hAnsiTheme="majorHAnsi"/>
          <w:sz w:val="22"/>
          <w:szCs w:val="22"/>
        </w:rPr>
        <w:t xml:space="preserve"> Motta </w:t>
      </w:r>
      <w:proofErr w:type="spellStart"/>
      <w:r w:rsidRPr="00206568">
        <w:rPr>
          <w:rFonts w:asciiTheme="majorHAnsi" w:hAnsiTheme="majorHAnsi"/>
          <w:sz w:val="22"/>
          <w:szCs w:val="22"/>
        </w:rPr>
        <w:t>Ferraz</w:t>
      </w:r>
      <w:proofErr w:type="spellEnd"/>
      <w:r w:rsidRPr="00206568">
        <w:rPr>
          <w:rFonts w:asciiTheme="majorHAnsi" w:hAnsiTheme="majorHAnsi"/>
          <w:sz w:val="22"/>
          <w:szCs w:val="22"/>
        </w:rPr>
        <w:t xml:space="preserve">, </w:t>
      </w:r>
      <w:r w:rsidRPr="00206568">
        <w:rPr>
          <w:rFonts w:asciiTheme="majorHAnsi" w:hAnsiTheme="majorHAnsi"/>
          <w:i/>
          <w:sz w:val="22"/>
          <w:szCs w:val="22"/>
        </w:rPr>
        <w:t>Harming the Poor Through Social Rights Litigation:</w:t>
      </w:r>
    </w:p>
    <w:p w14:paraId="4CFB4776" w14:textId="77777777" w:rsidR="00A17686" w:rsidRPr="00206568" w:rsidRDefault="00A17686" w:rsidP="001C7390">
      <w:pPr>
        <w:pStyle w:val="FootnoteText"/>
        <w:spacing w:after="60"/>
        <w:rPr>
          <w:rFonts w:asciiTheme="majorHAnsi" w:hAnsiTheme="majorHAnsi"/>
          <w:sz w:val="22"/>
          <w:szCs w:val="22"/>
        </w:rPr>
      </w:pPr>
      <w:r w:rsidRPr="00206568">
        <w:rPr>
          <w:rFonts w:asciiTheme="majorHAnsi" w:hAnsiTheme="majorHAnsi"/>
          <w:i/>
          <w:sz w:val="22"/>
          <w:szCs w:val="22"/>
        </w:rPr>
        <w:t>Lessons from Brazil</w:t>
      </w:r>
      <w:r w:rsidRPr="00206568">
        <w:rPr>
          <w:rFonts w:asciiTheme="majorHAnsi" w:hAnsiTheme="majorHAnsi"/>
          <w:sz w:val="22"/>
          <w:szCs w:val="22"/>
        </w:rPr>
        <w:t>, 89 Texas L. Rev. 1663 (2011)</w:t>
      </w:r>
    </w:p>
  </w:footnote>
  <w:footnote w:id="57">
    <w:p w14:paraId="5EF1464B"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gramStart"/>
      <w:r w:rsidRPr="00206568">
        <w:rPr>
          <w:rFonts w:asciiTheme="majorHAnsi" w:hAnsiTheme="majorHAnsi"/>
          <w:i/>
          <w:sz w:val="22"/>
          <w:szCs w:val="22"/>
        </w:rPr>
        <w:t xml:space="preserve">Id., </w:t>
      </w:r>
      <w:r w:rsidRPr="00206568">
        <w:rPr>
          <w:rFonts w:asciiTheme="majorHAnsi" w:hAnsiTheme="majorHAnsi"/>
          <w:sz w:val="22"/>
          <w:szCs w:val="22"/>
        </w:rPr>
        <w:t>at 1661-2.</w:t>
      </w:r>
      <w:proofErr w:type="gramEnd"/>
    </w:p>
  </w:footnote>
  <w:footnote w:id="58">
    <w:p w14:paraId="69228F93" w14:textId="77777777" w:rsidR="00A17686" w:rsidRPr="00206568" w:rsidRDefault="00A17686">
      <w:pPr>
        <w:pStyle w:val="FootnoteText"/>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i/>
          <w:sz w:val="22"/>
          <w:szCs w:val="22"/>
        </w:rPr>
        <w:t>Brower v. Gateway 2000, Inc</w:t>
      </w:r>
      <w:r w:rsidRPr="00206568">
        <w:rPr>
          <w:rFonts w:asciiTheme="majorHAnsi" w:hAnsiTheme="majorHAnsi"/>
          <w:sz w:val="22"/>
          <w:szCs w:val="22"/>
        </w:rPr>
        <w:t xml:space="preserve">., 676 N.Y.S.2d 569 (App. Div. 1998); </w:t>
      </w:r>
      <w:proofErr w:type="spellStart"/>
      <w:r w:rsidRPr="00206568">
        <w:rPr>
          <w:rFonts w:asciiTheme="majorHAnsi" w:hAnsiTheme="majorHAnsi"/>
          <w:i/>
          <w:iCs/>
          <w:sz w:val="22"/>
          <w:szCs w:val="22"/>
        </w:rPr>
        <w:t>Armendariz</w:t>
      </w:r>
      <w:proofErr w:type="spellEnd"/>
      <w:r w:rsidRPr="00206568">
        <w:rPr>
          <w:rFonts w:asciiTheme="majorHAnsi" w:hAnsiTheme="majorHAnsi"/>
          <w:i/>
          <w:iCs/>
          <w:sz w:val="22"/>
          <w:szCs w:val="22"/>
        </w:rPr>
        <w:t xml:space="preserve"> v. Foundation Health </w:t>
      </w:r>
      <w:proofErr w:type="spellStart"/>
      <w:r w:rsidRPr="00206568">
        <w:rPr>
          <w:rFonts w:asciiTheme="majorHAnsi" w:hAnsiTheme="majorHAnsi"/>
          <w:i/>
          <w:iCs/>
          <w:sz w:val="22"/>
          <w:szCs w:val="22"/>
        </w:rPr>
        <w:t>Psychcare</w:t>
      </w:r>
      <w:proofErr w:type="spellEnd"/>
      <w:r w:rsidRPr="00206568">
        <w:rPr>
          <w:rFonts w:asciiTheme="majorHAnsi" w:hAnsiTheme="majorHAnsi"/>
          <w:i/>
          <w:iCs/>
          <w:sz w:val="22"/>
          <w:szCs w:val="22"/>
        </w:rPr>
        <w:t xml:space="preserve"> Services, Inc</w:t>
      </w:r>
      <w:r w:rsidRPr="00206568">
        <w:rPr>
          <w:rFonts w:asciiTheme="majorHAnsi" w:hAnsiTheme="majorHAnsi"/>
          <w:iCs/>
          <w:sz w:val="22"/>
          <w:szCs w:val="22"/>
        </w:rPr>
        <w:t xml:space="preserve">., 6 P.3d 669 (Cal. 2000); </w:t>
      </w:r>
      <w:r w:rsidRPr="00206568">
        <w:rPr>
          <w:rFonts w:asciiTheme="majorHAnsi" w:hAnsiTheme="majorHAnsi"/>
          <w:i/>
          <w:iCs/>
          <w:sz w:val="22"/>
          <w:szCs w:val="22"/>
        </w:rPr>
        <w:t>Ex parte</w:t>
      </w:r>
      <w:r w:rsidRPr="00206568">
        <w:rPr>
          <w:rFonts w:asciiTheme="majorHAnsi" w:hAnsiTheme="majorHAnsi"/>
          <w:iCs/>
          <w:sz w:val="22"/>
          <w:szCs w:val="22"/>
        </w:rPr>
        <w:t xml:space="preserve"> </w:t>
      </w:r>
      <w:proofErr w:type="spellStart"/>
      <w:r w:rsidRPr="00206568">
        <w:rPr>
          <w:rFonts w:asciiTheme="majorHAnsi" w:hAnsiTheme="majorHAnsi"/>
          <w:i/>
          <w:iCs/>
          <w:sz w:val="22"/>
          <w:szCs w:val="22"/>
        </w:rPr>
        <w:t>Thicklin</w:t>
      </w:r>
      <w:proofErr w:type="spellEnd"/>
      <w:r w:rsidRPr="00206568">
        <w:rPr>
          <w:rFonts w:asciiTheme="majorHAnsi" w:hAnsiTheme="majorHAnsi"/>
          <w:iCs/>
          <w:sz w:val="22"/>
          <w:szCs w:val="22"/>
        </w:rPr>
        <w:t xml:space="preserve">, 824 So. </w:t>
      </w:r>
      <w:proofErr w:type="gramStart"/>
      <w:r w:rsidRPr="00206568">
        <w:rPr>
          <w:rFonts w:asciiTheme="majorHAnsi" w:hAnsiTheme="majorHAnsi"/>
          <w:iCs/>
          <w:sz w:val="22"/>
          <w:szCs w:val="22"/>
        </w:rPr>
        <w:t>2d 723, 734 (Ala. 2002).</w:t>
      </w:r>
      <w:proofErr w:type="gramEnd"/>
    </w:p>
  </w:footnote>
  <w:footnote w:id="59">
    <w:p w14:paraId="6DEADC8E"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James </w:t>
      </w:r>
      <w:proofErr w:type="spellStart"/>
      <w:r w:rsidRPr="00206568">
        <w:rPr>
          <w:rFonts w:asciiTheme="majorHAnsi" w:hAnsiTheme="majorHAnsi"/>
          <w:sz w:val="22"/>
          <w:szCs w:val="22"/>
        </w:rPr>
        <w:t>Tharin</w:t>
      </w:r>
      <w:proofErr w:type="spellEnd"/>
      <w:r w:rsidRPr="00206568">
        <w:rPr>
          <w:rFonts w:asciiTheme="majorHAnsi" w:hAnsiTheme="majorHAnsi"/>
          <w:sz w:val="22"/>
          <w:szCs w:val="22"/>
        </w:rPr>
        <w:t xml:space="preserve"> &amp; Brian </w:t>
      </w:r>
      <w:proofErr w:type="spellStart"/>
      <w:r w:rsidRPr="00206568">
        <w:rPr>
          <w:rFonts w:asciiTheme="majorHAnsi" w:hAnsiTheme="majorHAnsi"/>
          <w:sz w:val="22"/>
          <w:szCs w:val="22"/>
        </w:rPr>
        <w:t>Blockovich</w:t>
      </w:r>
      <w:proofErr w:type="spellEnd"/>
      <w:r w:rsidRPr="00206568">
        <w:rPr>
          <w:rFonts w:asciiTheme="majorHAnsi" w:hAnsiTheme="majorHAnsi"/>
          <w:sz w:val="22"/>
          <w:szCs w:val="22"/>
        </w:rPr>
        <w:t xml:space="preserve">, </w:t>
      </w:r>
      <w:r w:rsidRPr="00206568">
        <w:rPr>
          <w:rFonts w:asciiTheme="majorHAnsi" w:hAnsiTheme="majorHAnsi"/>
          <w:i/>
          <w:iCs/>
          <w:sz w:val="22"/>
          <w:szCs w:val="22"/>
        </w:rPr>
        <w:t>Coupons and the Class Action Fairness Act</w:t>
      </w:r>
      <w:r w:rsidRPr="00206568">
        <w:rPr>
          <w:rFonts w:asciiTheme="majorHAnsi" w:hAnsiTheme="majorHAnsi"/>
          <w:sz w:val="22"/>
          <w:szCs w:val="22"/>
        </w:rPr>
        <w:t xml:space="preserve">, 18 Geo. J. Legal Ethics 1443, 1445 (2005); Thomas a. Dickerson and Brenda V. </w:t>
      </w:r>
      <w:proofErr w:type="spellStart"/>
      <w:r w:rsidRPr="00206568">
        <w:rPr>
          <w:rFonts w:asciiTheme="majorHAnsi" w:hAnsiTheme="majorHAnsi"/>
          <w:sz w:val="22"/>
          <w:szCs w:val="22"/>
        </w:rPr>
        <w:t>Mechmann</w:t>
      </w:r>
      <w:proofErr w:type="spellEnd"/>
      <w:r w:rsidRPr="00206568">
        <w:rPr>
          <w:rFonts w:asciiTheme="majorHAnsi" w:hAnsiTheme="majorHAnsi"/>
          <w:sz w:val="22"/>
          <w:szCs w:val="22"/>
        </w:rPr>
        <w:t xml:space="preserve">, </w:t>
      </w:r>
      <w:r w:rsidRPr="00206568">
        <w:rPr>
          <w:rFonts w:asciiTheme="majorHAnsi" w:hAnsiTheme="majorHAnsi"/>
          <w:i/>
          <w:sz w:val="22"/>
          <w:szCs w:val="22"/>
        </w:rPr>
        <w:t>Consumer Class Actions and Coupon Settlements: Are Consumers Being Shortchanged?</w:t>
      </w:r>
      <w:r w:rsidRPr="00206568">
        <w:rPr>
          <w:rFonts w:asciiTheme="majorHAnsi" w:hAnsiTheme="majorHAnsi"/>
          <w:sz w:val="22"/>
          <w:szCs w:val="22"/>
        </w:rPr>
        <w:t xml:space="preserve">, 12(2) </w:t>
      </w:r>
      <w:r w:rsidRPr="00206568">
        <w:rPr>
          <w:rFonts w:asciiTheme="majorHAnsi" w:eastAsia="Times New Roman" w:hAnsiTheme="majorHAnsi" w:cs="Times New Roman"/>
          <w:sz w:val="22"/>
          <w:szCs w:val="22"/>
        </w:rPr>
        <w:t>Advancing the Consumer Interest 6 (2000).</w:t>
      </w:r>
    </w:p>
  </w:footnote>
  <w:footnote w:id="60">
    <w:p w14:paraId="661C31D7" w14:textId="77777777" w:rsidR="00A17686" w:rsidRPr="00206568" w:rsidRDefault="00A17686" w:rsidP="001C7390">
      <w:pPr>
        <w:pStyle w:val="FootnoteText"/>
        <w:spacing w:after="60"/>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w:t>
      </w:r>
      <w:r w:rsidRPr="00206568">
        <w:rPr>
          <w:rFonts w:asciiTheme="majorHAnsi" w:hAnsiTheme="majorHAnsi"/>
          <w:i/>
          <w:sz w:val="22"/>
          <w:szCs w:val="22"/>
        </w:rPr>
        <w:t>Roundtable Discussion on Private Remedies: Class Action/Collective Action; Interface Between Private and Public Enforcement</w:t>
      </w:r>
      <w:r w:rsidRPr="00206568">
        <w:rPr>
          <w:rFonts w:asciiTheme="majorHAnsi" w:hAnsiTheme="majorHAnsi"/>
          <w:sz w:val="22"/>
          <w:szCs w:val="22"/>
        </w:rPr>
        <w:t>, p. 4, (</w:t>
      </w:r>
      <w:r w:rsidRPr="00206568">
        <w:rPr>
          <w:rFonts w:asciiTheme="majorHAnsi" w:hAnsiTheme="majorHAnsi"/>
          <w:bCs/>
          <w:sz w:val="22"/>
          <w:szCs w:val="22"/>
        </w:rPr>
        <w:t>Working Party No. 3 on Co-operation and Enforcement,</w:t>
      </w:r>
      <w:r w:rsidRPr="00206568">
        <w:rPr>
          <w:rFonts w:asciiTheme="majorHAnsi" w:hAnsiTheme="majorHAnsi"/>
          <w:sz w:val="22"/>
          <w:szCs w:val="22"/>
        </w:rPr>
        <w:t xml:space="preserve"> Directorate for Financial and Enterprise Affairs, Competition Committee, 2006).</w:t>
      </w:r>
    </w:p>
  </w:footnote>
  <w:footnote w:id="61">
    <w:p w14:paraId="62B0E17E" w14:textId="77777777" w:rsidR="00A17686" w:rsidRPr="00206568" w:rsidRDefault="00A17686" w:rsidP="001C7390">
      <w:pPr>
        <w:pStyle w:val="FootnoteText"/>
        <w:spacing w:after="60"/>
        <w:rPr>
          <w:rFonts w:asciiTheme="majorHAnsi" w:hAnsiTheme="majorHAnsi"/>
          <w:iCs/>
          <w:sz w:val="22"/>
          <w:szCs w:val="22"/>
        </w:rPr>
      </w:pPr>
      <w:r w:rsidRPr="00206568">
        <w:rPr>
          <w:rStyle w:val="FootnoteReference"/>
          <w:sz w:val="22"/>
          <w:szCs w:val="22"/>
        </w:rPr>
        <w:footnoteRef/>
      </w:r>
      <w:r w:rsidRPr="00206568">
        <w:rPr>
          <w:rFonts w:asciiTheme="majorHAnsi" w:hAnsiTheme="majorHAnsi"/>
          <w:sz w:val="22"/>
          <w:szCs w:val="22"/>
        </w:rPr>
        <w:t xml:space="preserve"> </w:t>
      </w:r>
      <w:proofErr w:type="spellStart"/>
      <w:r w:rsidRPr="00206568">
        <w:rPr>
          <w:rFonts w:asciiTheme="majorHAnsi" w:hAnsiTheme="majorHAnsi"/>
          <w:iCs/>
          <w:sz w:val="22"/>
          <w:szCs w:val="22"/>
        </w:rPr>
        <w:t>Jef</w:t>
      </w:r>
      <w:proofErr w:type="spellEnd"/>
      <w:r w:rsidRPr="00206568">
        <w:rPr>
          <w:rFonts w:asciiTheme="majorHAnsi" w:hAnsiTheme="majorHAnsi"/>
          <w:iCs/>
          <w:sz w:val="22"/>
          <w:szCs w:val="22"/>
        </w:rPr>
        <w:t xml:space="preserve"> </w:t>
      </w:r>
      <w:proofErr w:type="spellStart"/>
      <w:r w:rsidRPr="00206568">
        <w:rPr>
          <w:rFonts w:asciiTheme="majorHAnsi" w:hAnsiTheme="majorHAnsi"/>
          <w:iCs/>
          <w:sz w:val="22"/>
          <w:szCs w:val="22"/>
        </w:rPr>
        <w:t>Feeley</w:t>
      </w:r>
      <w:proofErr w:type="spellEnd"/>
      <w:r w:rsidRPr="00206568">
        <w:rPr>
          <w:rFonts w:asciiTheme="majorHAnsi" w:hAnsiTheme="majorHAnsi"/>
          <w:iCs/>
          <w:sz w:val="22"/>
          <w:szCs w:val="22"/>
        </w:rPr>
        <w:t xml:space="preserve"> and Myron Levin,</w:t>
      </w:r>
      <w:r w:rsidRPr="00206568">
        <w:rPr>
          <w:rFonts w:asciiTheme="majorHAnsi" w:hAnsiTheme="majorHAnsi"/>
          <w:i/>
          <w:iCs/>
          <w:sz w:val="22"/>
          <w:szCs w:val="22"/>
        </w:rPr>
        <w:t xml:space="preserve"> </w:t>
      </w:r>
      <w:r w:rsidRPr="00206568">
        <w:rPr>
          <w:rFonts w:asciiTheme="majorHAnsi" w:hAnsiTheme="majorHAnsi"/>
          <w:bCs/>
          <w:i/>
          <w:sz w:val="22"/>
          <w:szCs w:val="22"/>
        </w:rPr>
        <w:t>Ford Accord Garners Less Than 1 Percent Participation</w:t>
      </w:r>
      <w:r w:rsidRPr="00206568">
        <w:rPr>
          <w:rFonts w:asciiTheme="majorHAnsi" w:hAnsiTheme="majorHAnsi"/>
          <w:bCs/>
          <w:sz w:val="22"/>
          <w:szCs w:val="22"/>
        </w:rPr>
        <w:t>, Bloomberg News, July 7, 2009.</w:t>
      </w:r>
    </w:p>
  </w:footnote>
  <w:footnote w:id="62">
    <w:p w14:paraId="36C77731" w14:textId="77777777" w:rsidR="00365FE6" w:rsidRPr="00206568" w:rsidRDefault="00365FE6" w:rsidP="00365FE6">
      <w:pPr>
        <w:pStyle w:val="FootnoteText"/>
        <w:rPr>
          <w:rFonts w:asciiTheme="majorHAnsi" w:hAnsiTheme="majorHAnsi"/>
          <w:sz w:val="22"/>
          <w:szCs w:val="22"/>
        </w:rPr>
      </w:pPr>
      <w:r w:rsidRPr="00206568">
        <w:rPr>
          <w:rStyle w:val="FootnoteReference"/>
          <w:sz w:val="22"/>
          <w:szCs w:val="22"/>
        </w:rPr>
        <w:footnoteRef/>
      </w:r>
      <w:r w:rsidRPr="00206568">
        <w:rPr>
          <w:rFonts w:asciiTheme="majorHAnsi" w:hAnsiTheme="majorHAnsi"/>
          <w:sz w:val="22"/>
          <w:szCs w:val="22"/>
        </w:rPr>
        <w:t xml:space="preserve"> See, generally, Oren Bar-Gill, Seduction by Contract (Oxford Press,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28A"/>
    <w:multiLevelType w:val="hybridMultilevel"/>
    <w:tmpl w:val="11C6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472D3"/>
    <w:multiLevelType w:val="hybridMultilevel"/>
    <w:tmpl w:val="05BE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82CE3"/>
    <w:multiLevelType w:val="hybridMultilevel"/>
    <w:tmpl w:val="7A96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33135"/>
    <w:multiLevelType w:val="hybridMultilevel"/>
    <w:tmpl w:val="D51073B0"/>
    <w:lvl w:ilvl="0" w:tplc="78CC8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47397"/>
    <w:multiLevelType w:val="hybridMultilevel"/>
    <w:tmpl w:val="11C6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64786"/>
    <w:multiLevelType w:val="hybridMultilevel"/>
    <w:tmpl w:val="165E7496"/>
    <w:lvl w:ilvl="0" w:tplc="D9901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CA514C"/>
    <w:multiLevelType w:val="hybridMultilevel"/>
    <w:tmpl w:val="8660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14ED6"/>
    <w:multiLevelType w:val="hybridMultilevel"/>
    <w:tmpl w:val="397CD480"/>
    <w:lvl w:ilvl="0" w:tplc="CFCA1BC0">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0395C"/>
    <w:multiLevelType w:val="hybridMultilevel"/>
    <w:tmpl w:val="9438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6B"/>
    <w:rsid w:val="0000343B"/>
    <w:rsid w:val="000069BF"/>
    <w:rsid w:val="000114B2"/>
    <w:rsid w:val="00020F5A"/>
    <w:rsid w:val="00030751"/>
    <w:rsid w:val="00061A2A"/>
    <w:rsid w:val="000823B1"/>
    <w:rsid w:val="000832D1"/>
    <w:rsid w:val="00093969"/>
    <w:rsid w:val="000C006B"/>
    <w:rsid w:val="000C466A"/>
    <w:rsid w:val="000C55FD"/>
    <w:rsid w:val="000C7950"/>
    <w:rsid w:val="000E4C6F"/>
    <w:rsid w:val="000F5A4D"/>
    <w:rsid w:val="00107267"/>
    <w:rsid w:val="0011224E"/>
    <w:rsid w:val="00112B29"/>
    <w:rsid w:val="00114439"/>
    <w:rsid w:val="00123F0E"/>
    <w:rsid w:val="00146358"/>
    <w:rsid w:val="00192BA9"/>
    <w:rsid w:val="001A16A6"/>
    <w:rsid w:val="001A16F3"/>
    <w:rsid w:val="001C2BF1"/>
    <w:rsid w:val="001C3959"/>
    <w:rsid w:val="001C7390"/>
    <w:rsid w:val="001D4A4E"/>
    <w:rsid w:val="00206568"/>
    <w:rsid w:val="00223856"/>
    <w:rsid w:val="00232A6C"/>
    <w:rsid w:val="0023791B"/>
    <w:rsid w:val="002A3FE8"/>
    <w:rsid w:val="002E1E45"/>
    <w:rsid w:val="002E3604"/>
    <w:rsid w:val="00310595"/>
    <w:rsid w:val="00312F26"/>
    <w:rsid w:val="00337252"/>
    <w:rsid w:val="0034233C"/>
    <w:rsid w:val="00353C8A"/>
    <w:rsid w:val="003557A4"/>
    <w:rsid w:val="0035740B"/>
    <w:rsid w:val="00360CEF"/>
    <w:rsid w:val="00362778"/>
    <w:rsid w:val="00365FE6"/>
    <w:rsid w:val="003A2E4C"/>
    <w:rsid w:val="003A3879"/>
    <w:rsid w:val="003B12C3"/>
    <w:rsid w:val="003B145A"/>
    <w:rsid w:val="003B5074"/>
    <w:rsid w:val="003B7668"/>
    <w:rsid w:val="003D23CC"/>
    <w:rsid w:val="003E090D"/>
    <w:rsid w:val="003E20FF"/>
    <w:rsid w:val="003E2EBC"/>
    <w:rsid w:val="003F2A98"/>
    <w:rsid w:val="003F72BD"/>
    <w:rsid w:val="00414AE1"/>
    <w:rsid w:val="00432CF8"/>
    <w:rsid w:val="00476C4E"/>
    <w:rsid w:val="00481337"/>
    <w:rsid w:val="00485FFC"/>
    <w:rsid w:val="004919EE"/>
    <w:rsid w:val="00494ECC"/>
    <w:rsid w:val="004C4844"/>
    <w:rsid w:val="004D2290"/>
    <w:rsid w:val="00515C5A"/>
    <w:rsid w:val="00552ACE"/>
    <w:rsid w:val="00560CE7"/>
    <w:rsid w:val="005736AF"/>
    <w:rsid w:val="005958B6"/>
    <w:rsid w:val="005A247A"/>
    <w:rsid w:val="005C62F1"/>
    <w:rsid w:val="005D67FB"/>
    <w:rsid w:val="005D692F"/>
    <w:rsid w:val="005E3BAC"/>
    <w:rsid w:val="005F6744"/>
    <w:rsid w:val="00605E54"/>
    <w:rsid w:val="00624A5D"/>
    <w:rsid w:val="00650772"/>
    <w:rsid w:val="006533AD"/>
    <w:rsid w:val="006559B7"/>
    <w:rsid w:val="00662289"/>
    <w:rsid w:val="006724C0"/>
    <w:rsid w:val="00672B7B"/>
    <w:rsid w:val="00677F46"/>
    <w:rsid w:val="00691DF8"/>
    <w:rsid w:val="006A68E2"/>
    <w:rsid w:val="006B4914"/>
    <w:rsid w:val="006B7217"/>
    <w:rsid w:val="006C75C7"/>
    <w:rsid w:val="006D0C56"/>
    <w:rsid w:val="006F1449"/>
    <w:rsid w:val="00704CE0"/>
    <w:rsid w:val="0070678C"/>
    <w:rsid w:val="00732B53"/>
    <w:rsid w:val="007369CD"/>
    <w:rsid w:val="00740C37"/>
    <w:rsid w:val="00760482"/>
    <w:rsid w:val="00770306"/>
    <w:rsid w:val="00770821"/>
    <w:rsid w:val="007826F6"/>
    <w:rsid w:val="007A0CD5"/>
    <w:rsid w:val="007E693E"/>
    <w:rsid w:val="00811FA1"/>
    <w:rsid w:val="00813115"/>
    <w:rsid w:val="008208B7"/>
    <w:rsid w:val="00820D0C"/>
    <w:rsid w:val="0083008D"/>
    <w:rsid w:val="00834704"/>
    <w:rsid w:val="00847BBE"/>
    <w:rsid w:val="00861650"/>
    <w:rsid w:val="00872C35"/>
    <w:rsid w:val="008847BD"/>
    <w:rsid w:val="00884B2C"/>
    <w:rsid w:val="00897E72"/>
    <w:rsid w:val="008B287F"/>
    <w:rsid w:val="008B4926"/>
    <w:rsid w:val="008E1C8C"/>
    <w:rsid w:val="008F298C"/>
    <w:rsid w:val="008F40A1"/>
    <w:rsid w:val="00905554"/>
    <w:rsid w:val="009214F4"/>
    <w:rsid w:val="0092732B"/>
    <w:rsid w:val="0095186F"/>
    <w:rsid w:val="009621DC"/>
    <w:rsid w:val="00962A7C"/>
    <w:rsid w:val="00963345"/>
    <w:rsid w:val="009635F4"/>
    <w:rsid w:val="00965EE4"/>
    <w:rsid w:val="0097191A"/>
    <w:rsid w:val="00973B46"/>
    <w:rsid w:val="00983447"/>
    <w:rsid w:val="00991018"/>
    <w:rsid w:val="009A011B"/>
    <w:rsid w:val="009A1498"/>
    <w:rsid w:val="009A28D8"/>
    <w:rsid w:val="009B3D3E"/>
    <w:rsid w:val="009C201D"/>
    <w:rsid w:val="009C2128"/>
    <w:rsid w:val="009C2FB8"/>
    <w:rsid w:val="009C34D9"/>
    <w:rsid w:val="009C52D5"/>
    <w:rsid w:val="009F1247"/>
    <w:rsid w:val="009F1889"/>
    <w:rsid w:val="00A04C5A"/>
    <w:rsid w:val="00A1643E"/>
    <w:rsid w:val="00A16EAC"/>
    <w:rsid w:val="00A17686"/>
    <w:rsid w:val="00A17958"/>
    <w:rsid w:val="00A218E8"/>
    <w:rsid w:val="00A3448C"/>
    <w:rsid w:val="00A641E5"/>
    <w:rsid w:val="00A72EF4"/>
    <w:rsid w:val="00A74692"/>
    <w:rsid w:val="00A7733C"/>
    <w:rsid w:val="00A82882"/>
    <w:rsid w:val="00A912D6"/>
    <w:rsid w:val="00A913E2"/>
    <w:rsid w:val="00A94F32"/>
    <w:rsid w:val="00AD55ED"/>
    <w:rsid w:val="00AF7B99"/>
    <w:rsid w:val="00B04C0F"/>
    <w:rsid w:val="00B15026"/>
    <w:rsid w:val="00B36F5B"/>
    <w:rsid w:val="00B53817"/>
    <w:rsid w:val="00B60750"/>
    <w:rsid w:val="00B6232B"/>
    <w:rsid w:val="00B63035"/>
    <w:rsid w:val="00B64B80"/>
    <w:rsid w:val="00B94989"/>
    <w:rsid w:val="00BB6869"/>
    <w:rsid w:val="00BC2DF0"/>
    <w:rsid w:val="00BC7B73"/>
    <w:rsid w:val="00BE2F0E"/>
    <w:rsid w:val="00C0346A"/>
    <w:rsid w:val="00C06367"/>
    <w:rsid w:val="00C1672F"/>
    <w:rsid w:val="00C20587"/>
    <w:rsid w:val="00C2160F"/>
    <w:rsid w:val="00C23347"/>
    <w:rsid w:val="00C30F95"/>
    <w:rsid w:val="00C42241"/>
    <w:rsid w:val="00C479A1"/>
    <w:rsid w:val="00C50836"/>
    <w:rsid w:val="00C64E30"/>
    <w:rsid w:val="00C71923"/>
    <w:rsid w:val="00C92A5C"/>
    <w:rsid w:val="00C95C65"/>
    <w:rsid w:val="00C96CAF"/>
    <w:rsid w:val="00CA517F"/>
    <w:rsid w:val="00CA72C6"/>
    <w:rsid w:val="00CA7989"/>
    <w:rsid w:val="00CB2517"/>
    <w:rsid w:val="00CC5AD2"/>
    <w:rsid w:val="00CD5B6A"/>
    <w:rsid w:val="00CD6E61"/>
    <w:rsid w:val="00CF298C"/>
    <w:rsid w:val="00CF4870"/>
    <w:rsid w:val="00D255B1"/>
    <w:rsid w:val="00D353C8"/>
    <w:rsid w:val="00D4743D"/>
    <w:rsid w:val="00D51935"/>
    <w:rsid w:val="00D54C1C"/>
    <w:rsid w:val="00D65FC3"/>
    <w:rsid w:val="00D66CF0"/>
    <w:rsid w:val="00D92DC8"/>
    <w:rsid w:val="00DA4BC5"/>
    <w:rsid w:val="00DA5583"/>
    <w:rsid w:val="00DB14C1"/>
    <w:rsid w:val="00DC1D44"/>
    <w:rsid w:val="00DD4BD3"/>
    <w:rsid w:val="00DE3025"/>
    <w:rsid w:val="00E17773"/>
    <w:rsid w:val="00E22FCD"/>
    <w:rsid w:val="00E31836"/>
    <w:rsid w:val="00E47488"/>
    <w:rsid w:val="00E84058"/>
    <w:rsid w:val="00E943DE"/>
    <w:rsid w:val="00E96CF6"/>
    <w:rsid w:val="00EA06F8"/>
    <w:rsid w:val="00EA08C3"/>
    <w:rsid w:val="00EA213E"/>
    <w:rsid w:val="00EB1582"/>
    <w:rsid w:val="00EE6C43"/>
    <w:rsid w:val="00EF0C30"/>
    <w:rsid w:val="00EF47E2"/>
    <w:rsid w:val="00EF681F"/>
    <w:rsid w:val="00F00B50"/>
    <w:rsid w:val="00F23375"/>
    <w:rsid w:val="00F26F02"/>
    <w:rsid w:val="00F303BB"/>
    <w:rsid w:val="00F54F42"/>
    <w:rsid w:val="00F621D1"/>
    <w:rsid w:val="00F64213"/>
    <w:rsid w:val="00F87217"/>
    <w:rsid w:val="00F9419F"/>
    <w:rsid w:val="00FA276C"/>
    <w:rsid w:val="00FB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A4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9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2C6"/>
  </w:style>
  <w:style w:type="character" w:customStyle="1" w:styleId="FootnoteTextChar">
    <w:name w:val="Footnote Text Char"/>
    <w:basedOn w:val="DefaultParagraphFont"/>
    <w:link w:val="FootnoteText"/>
    <w:uiPriority w:val="99"/>
    <w:rsid w:val="00CA72C6"/>
  </w:style>
  <w:style w:type="character" w:styleId="FootnoteReference">
    <w:name w:val="footnote reference"/>
    <w:uiPriority w:val="99"/>
    <w:qFormat/>
    <w:rsid w:val="00093969"/>
    <w:rPr>
      <w:rFonts w:asciiTheme="majorHAnsi" w:hAnsiTheme="majorHAnsi" w:cs="JCAGCO+TimesNewRoman"/>
      <w:color w:val="000000"/>
      <w:position w:val="5"/>
      <w:sz w:val="18"/>
    </w:rPr>
  </w:style>
  <w:style w:type="paragraph" w:styleId="ListParagraph">
    <w:name w:val="List Paragraph"/>
    <w:basedOn w:val="Normal"/>
    <w:uiPriority w:val="34"/>
    <w:qFormat/>
    <w:rsid w:val="00691DF8"/>
    <w:pPr>
      <w:ind w:left="720"/>
      <w:contextualSpacing/>
    </w:pPr>
  </w:style>
  <w:style w:type="character" w:customStyle="1" w:styleId="st">
    <w:name w:val="st"/>
    <w:basedOn w:val="DefaultParagraphFont"/>
    <w:rsid w:val="00F621D1"/>
  </w:style>
  <w:style w:type="character" w:styleId="Emphasis">
    <w:name w:val="Emphasis"/>
    <w:basedOn w:val="DefaultParagraphFont"/>
    <w:uiPriority w:val="20"/>
    <w:qFormat/>
    <w:rsid w:val="00F621D1"/>
    <w:rPr>
      <w:i/>
      <w:iCs/>
    </w:rPr>
  </w:style>
  <w:style w:type="character" w:customStyle="1" w:styleId="ptext-">
    <w:name w:val="ptext-"/>
    <w:basedOn w:val="DefaultParagraphFont"/>
    <w:rsid w:val="00476C4E"/>
  </w:style>
  <w:style w:type="character" w:styleId="Hyperlink">
    <w:name w:val="Hyperlink"/>
    <w:uiPriority w:val="99"/>
    <w:rsid w:val="007E693E"/>
    <w:rPr>
      <w:color w:val="0000FF"/>
      <w:u w:val="single"/>
    </w:rPr>
  </w:style>
  <w:style w:type="table" w:styleId="TableGrid">
    <w:name w:val="Table Grid"/>
    <w:basedOn w:val="TableNormal"/>
    <w:uiPriority w:val="59"/>
    <w:rsid w:val="0092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63345"/>
    <w:pPr>
      <w:tabs>
        <w:tab w:val="center" w:pos="4320"/>
        <w:tab w:val="right" w:pos="8640"/>
      </w:tabs>
    </w:pPr>
  </w:style>
  <w:style w:type="character" w:customStyle="1" w:styleId="FooterChar">
    <w:name w:val="Footer Char"/>
    <w:basedOn w:val="DefaultParagraphFont"/>
    <w:link w:val="Footer"/>
    <w:uiPriority w:val="99"/>
    <w:rsid w:val="00963345"/>
  </w:style>
  <w:style w:type="character" w:styleId="PageNumber">
    <w:name w:val="page number"/>
    <w:basedOn w:val="DefaultParagraphFont"/>
    <w:uiPriority w:val="99"/>
    <w:semiHidden/>
    <w:unhideWhenUsed/>
    <w:rsid w:val="00963345"/>
  </w:style>
  <w:style w:type="character" w:styleId="CommentReference">
    <w:name w:val="annotation reference"/>
    <w:basedOn w:val="DefaultParagraphFont"/>
    <w:uiPriority w:val="99"/>
    <w:semiHidden/>
    <w:unhideWhenUsed/>
    <w:rsid w:val="00DE3025"/>
    <w:rPr>
      <w:sz w:val="18"/>
      <w:szCs w:val="18"/>
    </w:rPr>
  </w:style>
  <w:style w:type="paragraph" w:styleId="CommentText">
    <w:name w:val="annotation text"/>
    <w:basedOn w:val="Normal"/>
    <w:link w:val="CommentTextChar"/>
    <w:uiPriority w:val="99"/>
    <w:semiHidden/>
    <w:unhideWhenUsed/>
    <w:rsid w:val="00DE3025"/>
  </w:style>
  <w:style w:type="character" w:customStyle="1" w:styleId="CommentTextChar">
    <w:name w:val="Comment Text Char"/>
    <w:basedOn w:val="DefaultParagraphFont"/>
    <w:link w:val="CommentText"/>
    <w:uiPriority w:val="99"/>
    <w:semiHidden/>
    <w:rsid w:val="00DE3025"/>
  </w:style>
  <w:style w:type="paragraph" w:styleId="CommentSubject">
    <w:name w:val="annotation subject"/>
    <w:basedOn w:val="CommentText"/>
    <w:next w:val="CommentText"/>
    <w:link w:val="CommentSubjectChar"/>
    <w:uiPriority w:val="99"/>
    <w:semiHidden/>
    <w:unhideWhenUsed/>
    <w:rsid w:val="00DE3025"/>
    <w:rPr>
      <w:b/>
      <w:bCs/>
      <w:sz w:val="20"/>
      <w:szCs w:val="20"/>
    </w:rPr>
  </w:style>
  <w:style w:type="character" w:customStyle="1" w:styleId="CommentSubjectChar">
    <w:name w:val="Comment Subject Char"/>
    <w:basedOn w:val="CommentTextChar"/>
    <w:link w:val="CommentSubject"/>
    <w:uiPriority w:val="99"/>
    <w:semiHidden/>
    <w:rsid w:val="00DE3025"/>
    <w:rPr>
      <w:b/>
      <w:bCs/>
      <w:sz w:val="20"/>
      <w:szCs w:val="20"/>
    </w:rPr>
  </w:style>
  <w:style w:type="paragraph" w:styleId="BalloonText">
    <w:name w:val="Balloon Text"/>
    <w:basedOn w:val="Normal"/>
    <w:link w:val="BalloonTextChar"/>
    <w:uiPriority w:val="99"/>
    <w:semiHidden/>
    <w:unhideWhenUsed/>
    <w:rsid w:val="00DE3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025"/>
    <w:rPr>
      <w:rFonts w:ascii="Lucida Grande" w:hAnsi="Lucida Grande" w:cs="Lucida Grande"/>
      <w:sz w:val="18"/>
      <w:szCs w:val="18"/>
    </w:rPr>
  </w:style>
  <w:style w:type="character" w:customStyle="1" w:styleId="Heading1Char">
    <w:name w:val="Heading 1 Char"/>
    <w:basedOn w:val="DefaultParagraphFont"/>
    <w:link w:val="Heading1"/>
    <w:uiPriority w:val="9"/>
    <w:rsid w:val="008F298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9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2C6"/>
  </w:style>
  <w:style w:type="character" w:customStyle="1" w:styleId="FootnoteTextChar">
    <w:name w:val="Footnote Text Char"/>
    <w:basedOn w:val="DefaultParagraphFont"/>
    <w:link w:val="FootnoteText"/>
    <w:uiPriority w:val="99"/>
    <w:rsid w:val="00CA72C6"/>
  </w:style>
  <w:style w:type="character" w:styleId="FootnoteReference">
    <w:name w:val="footnote reference"/>
    <w:uiPriority w:val="99"/>
    <w:qFormat/>
    <w:rsid w:val="00093969"/>
    <w:rPr>
      <w:rFonts w:asciiTheme="majorHAnsi" w:hAnsiTheme="majorHAnsi" w:cs="JCAGCO+TimesNewRoman"/>
      <w:color w:val="000000"/>
      <w:position w:val="5"/>
      <w:sz w:val="18"/>
    </w:rPr>
  </w:style>
  <w:style w:type="paragraph" w:styleId="ListParagraph">
    <w:name w:val="List Paragraph"/>
    <w:basedOn w:val="Normal"/>
    <w:uiPriority w:val="34"/>
    <w:qFormat/>
    <w:rsid w:val="00691DF8"/>
    <w:pPr>
      <w:ind w:left="720"/>
      <w:contextualSpacing/>
    </w:pPr>
  </w:style>
  <w:style w:type="character" w:customStyle="1" w:styleId="st">
    <w:name w:val="st"/>
    <w:basedOn w:val="DefaultParagraphFont"/>
    <w:rsid w:val="00F621D1"/>
  </w:style>
  <w:style w:type="character" w:styleId="Emphasis">
    <w:name w:val="Emphasis"/>
    <w:basedOn w:val="DefaultParagraphFont"/>
    <w:uiPriority w:val="20"/>
    <w:qFormat/>
    <w:rsid w:val="00F621D1"/>
    <w:rPr>
      <w:i/>
      <w:iCs/>
    </w:rPr>
  </w:style>
  <w:style w:type="character" w:customStyle="1" w:styleId="ptext-">
    <w:name w:val="ptext-"/>
    <w:basedOn w:val="DefaultParagraphFont"/>
    <w:rsid w:val="00476C4E"/>
  </w:style>
  <w:style w:type="character" w:styleId="Hyperlink">
    <w:name w:val="Hyperlink"/>
    <w:uiPriority w:val="99"/>
    <w:rsid w:val="007E693E"/>
    <w:rPr>
      <w:color w:val="0000FF"/>
      <w:u w:val="single"/>
    </w:rPr>
  </w:style>
  <w:style w:type="table" w:styleId="TableGrid">
    <w:name w:val="Table Grid"/>
    <w:basedOn w:val="TableNormal"/>
    <w:uiPriority w:val="59"/>
    <w:rsid w:val="0092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63345"/>
    <w:pPr>
      <w:tabs>
        <w:tab w:val="center" w:pos="4320"/>
        <w:tab w:val="right" w:pos="8640"/>
      </w:tabs>
    </w:pPr>
  </w:style>
  <w:style w:type="character" w:customStyle="1" w:styleId="FooterChar">
    <w:name w:val="Footer Char"/>
    <w:basedOn w:val="DefaultParagraphFont"/>
    <w:link w:val="Footer"/>
    <w:uiPriority w:val="99"/>
    <w:rsid w:val="00963345"/>
  </w:style>
  <w:style w:type="character" w:styleId="PageNumber">
    <w:name w:val="page number"/>
    <w:basedOn w:val="DefaultParagraphFont"/>
    <w:uiPriority w:val="99"/>
    <w:semiHidden/>
    <w:unhideWhenUsed/>
    <w:rsid w:val="00963345"/>
  </w:style>
  <w:style w:type="character" w:styleId="CommentReference">
    <w:name w:val="annotation reference"/>
    <w:basedOn w:val="DefaultParagraphFont"/>
    <w:uiPriority w:val="99"/>
    <w:semiHidden/>
    <w:unhideWhenUsed/>
    <w:rsid w:val="00DE3025"/>
    <w:rPr>
      <w:sz w:val="18"/>
      <w:szCs w:val="18"/>
    </w:rPr>
  </w:style>
  <w:style w:type="paragraph" w:styleId="CommentText">
    <w:name w:val="annotation text"/>
    <w:basedOn w:val="Normal"/>
    <w:link w:val="CommentTextChar"/>
    <w:uiPriority w:val="99"/>
    <w:semiHidden/>
    <w:unhideWhenUsed/>
    <w:rsid w:val="00DE3025"/>
  </w:style>
  <w:style w:type="character" w:customStyle="1" w:styleId="CommentTextChar">
    <w:name w:val="Comment Text Char"/>
    <w:basedOn w:val="DefaultParagraphFont"/>
    <w:link w:val="CommentText"/>
    <w:uiPriority w:val="99"/>
    <w:semiHidden/>
    <w:rsid w:val="00DE3025"/>
  </w:style>
  <w:style w:type="paragraph" w:styleId="CommentSubject">
    <w:name w:val="annotation subject"/>
    <w:basedOn w:val="CommentText"/>
    <w:next w:val="CommentText"/>
    <w:link w:val="CommentSubjectChar"/>
    <w:uiPriority w:val="99"/>
    <w:semiHidden/>
    <w:unhideWhenUsed/>
    <w:rsid w:val="00DE3025"/>
    <w:rPr>
      <w:b/>
      <w:bCs/>
      <w:sz w:val="20"/>
      <w:szCs w:val="20"/>
    </w:rPr>
  </w:style>
  <w:style w:type="character" w:customStyle="1" w:styleId="CommentSubjectChar">
    <w:name w:val="Comment Subject Char"/>
    <w:basedOn w:val="CommentTextChar"/>
    <w:link w:val="CommentSubject"/>
    <w:uiPriority w:val="99"/>
    <w:semiHidden/>
    <w:rsid w:val="00DE3025"/>
    <w:rPr>
      <w:b/>
      <w:bCs/>
      <w:sz w:val="20"/>
      <w:szCs w:val="20"/>
    </w:rPr>
  </w:style>
  <w:style w:type="paragraph" w:styleId="BalloonText">
    <w:name w:val="Balloon Text"/>
    <w:basedOn w:val="Normal"/>
    <w:link w:val="BalloonTextChar"/>
    <w:uiPriority w:val="99"/>
    <w:semiHidden/>
    <w:unhideWhenUsed/>
    <w:rsid w:val="00DE3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025"/>
    <w:rPr>
      <w:rFonts w:ascii="Lucida Grande" w:hAnsi="Lucida Grande" w:cs="Lucida Grande"/>
      <w:sz w:val="18"/>
      <w:szCs w:val="18"/>
    </w:rPr>
  </w:style>
  <w:style w:type="character" w:customStyle="1" w:styleId="Heading1Char">
    <w:name w:val="Heading 1 Char"/>
    <w:basedOn w:val="DefaultParagraphFont"/>
    <w:link w:val="Heading1"/>
    <w:uiPriority w:val="9"/>
    <w:rsid w:val="008F298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140657278">
          <w:marLeft w:val="0"/>
          <w:marRight w:val="0"/>
          <w:marTop w:val="0"/>
          <w:marBottom w:val="0"/>
          <w:divBdr>
            <w:top w:val="none" w:sz="0" w:space="0" w:color="auto"/>
            <w:left w:val="none" w:sz="0" w:space="0" w:color="auto"/>
            <w:bottom w:val="none" w:sz="0" w:space="0" w:color="auto"/>
            <w:right w:val="none" w:sz="0" w:space="0" w:color="auto"/>
          </w:divBdr>
          <w:divsChild>
            <w:div w:id="527916017">
              <w:marLeft w:val="0"/>
              <w:marRight w:val="0"/>
              <w:marTop w:val="0"/>
              <w:marBottom w:val="0"/>
              <w:divBdr>
                <w:top w:val="none" w:sz="0" w:space="0" w:color="auto"/>
                <w:left w:val="none" w:sz="0" w:space="0" w:color="auto"/>
                <w:bottom w:val="none" w:sz="0" w:space="0" w:color="auto"/>
                <w:right w:val="none" w:sz="0" w:space="0" w:color="auto"/>
              </w:divBdr>
              <w:divsChild>
                <w:div w:id="173157246">
                  <w:marLeft w:val="0"/>
                  <w:marRight w:val="0"/>
                  <w:marTop w:val="0"/>
                  <w:marBottom w:val="0"/>
                  <w:divBdr>
                    <w:top w:val="none" w:sz="0" w:space="0" w:color="auto"/>
                    <w:left w:val="none" w:sz="0" w:space="0" w:color="auto"/>
                    <w:bottom w:val="none" w:sz="0" w:space="0" w:color="auto"/>
                    <w:right w:val="none" w:sz="0" w:space="0" w:color="auto"/>
                  </w:divBdr>
                  <w:divsChild>
                    <w:div w:id="12777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7485">
      <w:bodyDiv w:val="1"/>
      <w:marLeft w:val="0"/>
      <w:marRight w:val="0"/>
      <w:marTop w:val="0"/>
      <w:marBottom w:val="0"/>
      <w:divBdr>
        <w:top w:val="none" w:sz="0" w:space="0" w:color="auto"/>
        <w:left w:val="none" w:sz="0" w:space="0" w:color="auto"/>
        <w:bottom w:val="none" w:sz="0" w:space="0" w:color="auto"/>
        <w:right w:val="none" w:sz="0" w:space="0" w:color="auto"/>
      </w:divBdr>
      <w:divsChild>
        <w:div w:id="1881697400">
          <w:marLeft w:val="0"/>
          <w:marRight w:val="0"/>
          <w:marTop w:val="0"/>
          <w:marBottom w:val="0"/>
          <w:divBdr>
            <w:top w:val="none" w:sz="0" w:space="0" w:color="auto"/>
            <w:left w:val="none" w:sz="0" w:space="0" w:color="auto"/>
            <w:bottom w:val="none" w:sz="0" w:space="0" w:color="auto"/>
            <w:right w:val="none" w:sz="0" w:space="0" w:color="auto"/>
          </w:divBdr>
          <w:divsChild>
            <w:div w:id="638417715">
              <w:marLeft w:val="0"/>
              <w:marRight w:val="0"/>
              <w:marTop w:val="0"/>
              <w:marBottom w:val="0"/>
              <w:divBdr>
                <w:top w:val="none" w:sz="0" w:space="0" w:color="auto"/>
                <w:left w:val="none" w:sz="0" w:space="0" w:color="auto"/>
                <w:bottom w:val="none" w:sz="0" w:space="0" w:color="auto"/>
                <w:right w:val="none" w:sz="0" w:space="0" w:color="auto"/>
              </w:divBdr>
              <w:divsChild>
                <w:div w:id="1175918982">
                  <w:marLeft w:val="0"/>
                  <w:marRight w:val="0"/>
                  <w:marTop w:val="0"/>
                  <w:marBottom w:val="0"/>
                  <w:divBdr>
                    <w:top w:val="none" w:sz="0" w:space="0" w:color="auto"/>
                    <w:left w:val="none" w:sz="0" w:space="0" w:color="auto"/>
                    <w:bottom w:val="none" w:sz="0" w:space="0" w:color="auto"/>
                    <w:right w:val="none" w:sz="0" w:space="0" w:color="auto"/>
                  </w:divBdr>
                  <w:divsChild>
                    <w:div w:id="8019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holarship.law.duke.edu/cgi/viewcontent.cgi?article=1319&amp;context=lcp" TargetMode="External"/><Relationship Id="rId2" Type="http://schemas.openxmlformats.org/officeDocument/2006/relationships/hyperlink" Target="http://www.chicagotribune.com/news/education/ct-met-accommodations-folo-20120606,0,4860162.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0D16-2427-4B4A-A5EE-594B4164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8825</Words>
  <Characters>45802</Characters>
  <Application>Microsoft Macintosh Word</Application>
  <DocSecurity>0</DocSecurity>
  <Lines>789</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Chicago Law School</Company>
  <LinksUpToDate>false</LinksUpToDate>
  <CharactersWithSpaces>54624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Omri Ben-Shahar</dc:creator>
  <cp:lastModifiedBy>Omri Ben-Shahar</cp:lastModifiedBy>
  <cp:revision>3</cp:revision>
  <dcterms:created xsi:type="dcterms:W3CDTF">2012-10-11T20:34:00Z</dcterms:created>
  <dcterms:modified xsi:type="dcterms:W3CDTF">2012-10-11T20:36:00Z</dcterms:modified>
</cp:coreProperties>
</file>